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48" w:lineRule="exact"/>
        <w:rPr>
          <w:sz w:val="24"/>
          <w:szCs w:val="24"/>
          <w:color w:val="auto"/>
        </w:rPr>
      </w:pPr>
    </w:p>
    <w:p>
      <w:pPr>
        <w:ind w:left="3520"/>
        <w:spacing w:after="0"/>
        <w:rPr>
          <w:sz w:val="20"/>
          <w:szCs w:val="20"/>
          <w:color w:val="auto"/>
        </w:rPr>
      </w:pPr>
      <w:r>
        <w:rPr>
          <w:rFonts w:ascii="Times New Roman" w:cs="Times New Roman" w:eastAsia="Times New Roman" w:hAnsi="Times New Roman"/>
          <w:sz w:val="25"/>
          <w:szCs w:val="25"/>
          <w:b w:val="1"/>
          <w:bCs w:val="1"/>
          <w:color w:val="auto"/>
        </w:rPr>
        <w:t>UNITED STATES</w:t>
      </w:r>
    </w:p>
    <w:p>
      <w:pPr>
        <w:ind w:left="1800"/>
        <w:spacing w:after="0" w:line="205" w:lineRule="auto"/>
        <w:rPr>
          <w:sz w:val="20"/>
          <w:szCs w:val="20"/>
          <w:color w:val="auto"/>
        </w:rPr>
      </w:pPr>
      <w:r>
        <w:rPr>
          <w:rFonts w:ascii="Times New Roman" w:cs="Times New Roman" w:eastAsia="Times New Roman" w:hAnsi="Times New Roman"/>
          <w:sz w:val="25"/>
          <w:szCs w:val="25"/>
          <w:b w:val="1"/>
          <w:bCs w:val="1"/>
          <w:color w:val="auto"/>
        </w:rPr>
        <w:t>SECURITIES AND EXCHANGE COMMISSION</w:t>
      </w:r>
    </w:p>
    <w:p>
      <w:pPr>
        <w:jc w:val="center"/>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7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00" w:lineRule="exact"/>
        <w:rPr>
          <w:sz w:val="24"/>
          <w:szCs w:val="24"/>
          <w:color w:val="auto"/>
        </w:rPr>
      </w:pPr>
    </w:p>
    <w:p>
      <w:pPr>
        <w:spacing w:after="0" w:line="270" w:lineRule="exact"/>
        <w:rPr>
          <w:sz w:val="24"/>
          <w:szCs w:val="24"/>
          <w:color w:val="auto"/>
        </w:rPr>
      </w:pPr>
    </w:p>
    <w:p>
      <w:pPr>
        <w:jc w:val="center"/>
        <w:ind w:left="40" w:right="59"/>
        <w:spacing w:after="0" w:line="225" w:lineRule="auto"/>
        <w:rPr>
          <w:sz w:val="20"/>
          <w:szCs w:val="20"/>
          <w:color w:val="auto"/>
        </w:rPr>
      </w:pPr>
      <w:r>
        <w:rPr>
          <w:rFonts w:ascii="Times New Roman" w:cs="Times New Roman" w:eastAsia="Times New Roman" w:hAnsi="Times New Roman"/>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3" w:lineRule="exact"/>
        <w:rPr>
          <w:sz w:val="24"/>
          <w:szCs w:val="24"/>
          <w:color w:val="auto"/>
        </w:rPr>
      </w:pPr>
    </w:p>
    <w:p>
      <w:pPr>
        <w:ind w:left="3020"/>
        <w:spacing w:after="0"/>
        <w:rPr>
          <w:sz w:val="20"/>
          <w:szCs w:val="20"/>
          <w:color w:val="auto"/>
        </w:rPr>
      </w:pPr>
      <w:r>
        <w:rPr>
          <w:rFonts w:ascii="Times New Roman" w:cs="Times New Roman" w:eastAsia="Times New Roman" w:hAnsi="Times New Roman"/>
          <w:sz w:val="22"/>
          <w:szCs w:val="22"/>
          <w:color w:val="auto"/>
        </w:rPr>
        <w:t>For the month of September, 2022</w:t>
      </w:r>
    </w:p>
    <w:p>
      <w:pPr>
        <w:spacing w:after="0" w:line="206" w:lineRule="exact"/>
        <w:rPr>
          <w:sz w:val="24"/>
          <w:szCs w:val="24"/>
          <w:color w:val="auto"/>
        </w:rPr>
      </w:pPr>
    </w:p>
    <w:p>
      <w:pPr>
        <w:ind w:left="3000"/>
        <w:spacing w:after="0"/>
        <w:rPr>
          <w:sz w:val="20"/>
          <w:szCs w:val="20"/>
          <w:color w:val="auto"/>
        </w:rPr>
      </w:pPr>
      <w:r>
        <w:rPr>
          <w:rFonts w:ascii="Times New Roman" w:cs="Times New Roman" w:eastAsia="Times New Roman" w:hAnsi="Times New Roman"/>
          <w:sz w:val="22"/>
          <w:szCs w:val="22"/>
          <w:color w:val="auto"/>
        </w:rPr>
        <w:t>Commission File Number 1-11414</w:t>
      </w:r>
    </w:p>
    <w:p>
      <w:pPr>
        <w:spacing w:after="0" w:line="200" w:lineRule="exact"/>
        <w:rPr>
          <w:sz w:val="24"/>
          <w:szCs w:val="24"/>
          <w:color w:val="auto"/>
        </w:rPr>
      </w:pP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jc w:val="center"/>
        <w:spacing w:after="0"/>
        <w:rPr>
          <w:sz w:val="20"/>
          <w:szCs w:val="20"/>
          <w:color w:val="auto"/>
        </w:rPr>
      </w:pPr>
      <w:r>
        <w:rPr>
          <w:rFonts w:ascii="Times New Roman" w:cs="Times New Roman" w:eastAsia="Times New Roman" w:hAnsi="Times New Roman"/>
          <w:sz w:val="14"/>
          <w:szCs w:val="14"/>
          <w:color w:val="auto"/>
        </w:rPr>
        <w:t>(Exact name of Registrant as specified in its Charter)</w:t>
      </w:r>
    </w:p>
    <w:p>
      <w:pPr>
        <w:spacing w:after="0" w:line="1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ind w:left="248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ind w:left="3720"/>
        <w:spacing w:after="0" w:line="205" w:lineRule="auto"/>
        <w:rPr>
          <w:sz w:val="20"/>
          <w:szCs w:val="20"/>
          <w:color w:val="auto"/>
        </w:rPr>
      </w:pPr>
      <w:r>
        <w:rPr>
          <w:rFonts w:ascii="Times New Roman" w:cs="Times New Roman" w:eastAsia="Times New Roman" w:hAnsi="Times New Roman"/>
          <w:sz w:val="18"/>
          <w:szCs w:val="18"/>
          <w:color w:val="auto"/>
        </w:rPr>
        <w:t>P.O. Box 0819-08730</w:t>
      </w:r>
    </w:p>
    <w:p>
      <w:pPr>
        <w:jc w:val="center"/>
        <w:spacing w:after="0" w:line="194" w:lineRule="auto"/>
        <w:rPr>
          <w:sz w:val="20"/>
          <w:szCs w:val="20"/>
          <w:color w:val="auto"/>
        </w:rPr>
      </w:pPr>
      <w:r>
        <w:rPr>
          <w:rFonts w:ascii="Times New Roman" w:cs="Times New Roman" w:eastAsia="Times New Roman" w:hAnsi="Times New Roman"/>
          <w:sz w:val="18"/>
          <w:szCs w:val="18"/>
          <w:color w:val="auto"/>
        </w:rPr>
        <w:t>Panama City, Republic of Panama</w:t>
      </w:r>
    </w:p>
    <w:p>
      <w:pPr>
        <w:spacing w:after="0" w:line="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305" w:lineRule="exact"/>
        <w:rPr>
          <w:sz w:val="24"/>
          <w:szCs w:val="24"/>
          <w:color w:val="auto"/>
        </w:rPr>
      </w:pPr>
    </w:p>
    <w:p>
      <w:pPr>
        <w:jc w:val="center"/>
        <w:ind w:left="40" w:right="59"/>
        <w:spacing w:after="0" w:line="344"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Times New Roman" w:cs="Times New Roman" w:eastAsia="Times New Roman" w:hAnsi="Times New Roman"/>
          <w:sz w:val="18"/>
          <w:szCs w:val="18"/>
          <w:u w:val="single" w:color="auto"/>
          <w:color w:val="auto"/>
        </w:rPr>
        <w:t>x</w:t>
      </w:r>
      <w:r>
        <w:rPr>
          <w:rFonts w:ascii="Times New Roman" w:cs="Times New Roman" w:eastAsia="Times New Roman" w:hAnsi="Times New Roman"/>
          <w:sz w:val="18"/>
          <w:szCs w:val="18"/>
          <w:color w:val="auto"/>
        </w:rPr>
        <w:t xml:space="preserve"> Form 40-F __</w:t>
      </w:r>
    </w:p>
    <w:p>
      <w:pPr>
        <w:spacing w:after="0" w:line="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6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SIGNATURES</w:t>
      </w:r>
    </w:p>
    <w:p>
      <w:pPr>
        <w:spacing w:after="0" w:line="219" w:lineRule="exact"/>
        <w:rPr>
          <w:sz w:val="20"/>
          <w:szCs w:val="20"/>
          <w:color w:val="auto"/>
        </w:rPr>
      </w:pPr>
    </w:p>
    <w:p>
      <w:pPr>
        <w:ind w:firstLine="286"/>
        <w:spacing w:after="0" w:line="23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September 6, 2022</w:t>
      </w: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FOREIGN TRADE BANK OF LATIN AMERICA, INC.</w:t>
      </w:r>
    </w:p>
    <w:p>
      <w:pPr>
        <w:spacing w:after="0"/>
        <w:rPr>
          <w:sz w:val="20"/>
          <w:szCs w:val="20"/>
          <w:color w:val="auto"/>
        </w:rPr>
      </w:pPr>
      <w:r>
        <w:rPr>
          <w:rFonts w:ascii="Times New Roman" w:cs="Times New Roman" w:eastAsia="Times New Roman" w:hAnsi="Times New Roman"/>
          <w:sz w:val="22"/>
          <w:szCs w:val="22"/>
          <w:i w:val="1"/>
          <w:iCs w:val="1"/>
          <w:color w:val="auto"/>
        </w:rPr>
        <w:t>(Registrant)</w:t>
      </w: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u w:val="single" w:color="auto"/>
          <w:color w:val="auto"/>
        </w:rPr>
        <w:t>/s/ Ana Graciela de Méndez</w:t>
      </w:r>
    </w:p>
    <w:p>
      <w:pPr>
        <w:spacing w:after="0" w:line="212"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18"/>
          <w:szCs w:val="18"/>
          <w:color w:val="auto"/>
        </w:rPr>
        <w:t>Title: CFO</w:t>
      </w:r>
    </w:p>
    <w:p>
      <w:pPr>
        <w:sectPr>
          <w:pgSz w:w="11900" w:h="16838" w:orient="portrait"/>
          <w:cols w:equalWidth="0" w:num="1">
            <w:col w:w="11240"/>
          </w:cols>
          <w:pgMar w:left="320" w:top="1391" w:right="339" w:bottom="1440" w:gutter="0" w:footer="0" w:header="0"/>
        </w:sectPr>
      </w:pPr>
    </w:p>
    <w:bookmarkStart w:id="2" w:name="page3"/>
    <w:bookmarkEnd w:id="2"/>
    <w:p>
      <w:pPr>
        <w:jc w:val="both"/>
        <w:ind w:right="200"/>
        <w:spacing w:after="0" w:line="269" w:lineRule="auto"/>
        <w:rPr>
          <w:sz w:val="20"/>
          <w:szCs w:val="20"/>
          <w:color w:val="auto"/>
        </w:rPr>
      </w:pPr>
      <w:r>
        <w:rPr>
          <w:rFonts w:ascii="Times New Roman" w:cs="Times New Roman" w:eastAsia="Times New Roman" w:hAnsi="Times New Roman"/>
          <w:sz w:val="15"/>
          <w:szCs w:val="15"/>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148590</wp:posOffset>
            </wp:positionV>
            <wp:extent cx="539750" cy="5486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3975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BALANCE SHEET</w:t>
      </w:r>
    </w:p>
    <w:p>
      <w:pPr>
        <w:jc w:val="center"/>
        <w:ind w:right="-19"/>
        <w:spacing w:after="0" w:line="225" w:lineRule="auto"/>
        <w:rPr>
          <w:sz w:val="20"/>
          <w:szCs w:val="20"/>
          <w:color w:val="auto"/>
        </w:rPr>
      </w:pPr>
      <w:r>
        <w:rPr>
          <w:rFonts w:ascii="Times New Roman" w:cs="Times New Roman" w:eastAsia="Times New Roman" w:hAnsi="Times New Roman"/>
          <w:sz w:val="15"/>
          <w:szCs w:val="15"/>
          <w:b w:val="1"/>
          <w:bCs w:val="1"/>
          <w:color w:val="auto"/>
        </w:rPr>
        <w:t>BANCO LATINOAMERICANO DE COMERCIO EXTERIOR, S.A.</w:t>
      </w: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DECEMBER 2021 - JUNE 2022</w:t>
      </w:r>
    </w:p>
    <w:p>
      <w:pPr>
        <w:spacing w:after="0" w:line="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(In Thousand Balboas) *</w:t>
      </w:r>
    </w:p>
    <w:p>
      <w:pPr>
        <w:spacing w:after="0" w:line="230" w:lineRule="exact"/>
        <w:rPr>
          <w:sz w:val="20"/>
          <w:szCs w:val="20"/>
          <w:color w:val="auto"/>
        </w:rPr>
      </w:pPr>
    </w:p>
    <w:p>
      <w:pPr>
        <w:ind w:left="10200"/>
        <w:spacing w:after="0"/>
        <w:rPr>
          <w:sz w:val="20"/>
          <w:szCs w:val="20"/>
          <w:color w:val="auto"/>
        </w:rPr>
      </w:pPr>
      <w:r>
        <w:rPr>
          <w:rFonts w:ascii="Times New Roman" w:cs="Times New Roman" w:eastAsia="Times New Roman" w:hAnsi="Times New Roman"/>
          <w:sz w:val="15"/>
          <w:szCs w:val="15"/>
          <w:color w:val="auto"/>
        </w:rPr>
        <w:t>July 25, 2022</w:t>
      </w:r>
    </w:p>
    <w:p>
      <w:pPr>
        <w:spacing w:after="0" w:line="304"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1740" w:type="dxa"/>
            <w:vAlign w:val="bottom"/>
            <w:shd w:val="clear" w:color="auto" w:fill="CCEDFF"/>
          </w:tcPr>
          <w:p>
            <w:pPr>
              <w:spacing w:after="0"/>
              <w:rPr>
                <w:sz w:val="14"/>
                <w:szCs w:val="14"/>
                <w:color w:val="auto"/>
              </w:rPr>
            </w:pPr>
          </w:p>
        </w:tc>
        <w:tc>
          <w:tcPr>
            <w:tcW w:w="780" w:type="dxa"/>
            <w:vAlign w:val="bottom"/>
            <w:shd w:val="clear" w:color="auto" w:fill="CCEDFF"/>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Absolute</w:t>
            </w:r>
          </w:p>
        </w:tc>
        <w:tc>
          <w:tcPr>
            <w:tcW w:w="340" w:type="dxa"/>
            <w:vAlign w:val="bottom"/>
            <w:shd w:val="clear" w:color="auto" w:fill="CCEDFF"/>
          </w:tcPr>
          <w:p>
            <w:pPr>
              <w:spacing w:after="0"/>
              <w:rPr>
                <w:sz w:val="14"/>
                <w:szCs w:val="14"/>
                <w:color w:val="auto"/>
              </w:rPr>
            </w:pPr>
          </w:p>
        </w:tc>
        <w:tc>
          <w:tcPr>
            <w:tcW w:w="800" w:type="dxa"/>
            <w:vAlign w:val="bottom"/>
            <w:tcBorders>
              <w:bottom w:val="single" w:sz="8" w:color="auto"/>
            </w:tcBorders>
            <w:shd w:val="clear" w:color="auto" w:fill="CCEDFF"/>
          </w:tcPr>
          <w:p>
            <w:pPr>
              <w:jc w:val="right"/>
              <w:ind w:right="270"/>
              <w:spacing w:after="0"/>
              <w:rPr>
                <w:sz w:val="20"/>
                <w:szCs w:val="20"/>
                <w:color w:val="auto"/>
              </w:rPr>
            </w:pPr>
            <w:r>
              <w:rPr>
                <w:rFonts w:ascii="Times New Roman" w:cs="Times New Roman" w:eastAsia="Times New Roman" w:hAnsi="Times New Roman"/>
                <w:sz w:val="11"/>
                <w:szCs w:val="11"/>
                <w:b w:val="1"/>
                <w:bCs w:val="1"/>
                <w:color w:val="auto"/>
              </w:rPr>
              <w:t>2021</w:t>
            </w:r>
          </w:p>
        </w:tc>
        <w:tc>
          <w:tcPr>
            <w:tcW w:w="700" w:type="dxa"/>
            <w:vAlign w:val="bottom"/>
            <w:tcBorders>
              <w:bottom w:val="single" w:sz="8" w:color="auto"/>
            </w:tcBorders>
            <w:shd w:val="clear" w:color="auto" w:fill="CCEDFF"/>
          </w:tcPr>
          <w:p>
            <w:pPr>
              <w:spacing w:after="0"/>
              <w:rPr>
                <w:sz w:val="14"/>
                <w:szCs w:val="14"/>
                <w:color w:val="auto"/>
              </w:rPr>
            </w:pPr>
          </w:p>
        </w:tc>
        <w:tc>
          <w:tcPr>
            <w:tcW w:w="740" w:type="dxa"/>
            <w:vAlign w:val="bottom"/>
            <w:tcBorders>
              <w:bottom w:val="single" w:sz="8" w:color="auto"/>
            </w:tcBorders>
            <w:shd w:val="clear" w:color="auto" w:fill="CCEDFF"/>
          </w:tcPr>
          <w:p>
            <w:pPr>
              <w:spacing w:after="0"/>
              <w:rPr>
                <w:sz w:val="14"/>
                <w:szCs w:val="14"/>
                <w:color w:val="auto"/>
              </w:rPr>
            </w:pPr>
          </w:p>
        </w:tc>
        <w:tc>
          <w:tcPr>
            <w:tcW w:w="720" w:type="dxa"/>
            <w:vAlign w:val="bottom"/>
            <w:tcBorders>
              <w:bottom w:val="single" w:sz="8" w:color="auto"/>
            </w:tcBorders>
            <w:shd w:val="clear" w:color="auto" w:fill="CCEDFF"/>
          </w:tcPr>
          <w:p>
            <w:pPr>
              <w:spacing w:after="0"/>
              <w:rPr>
                <w:sz w:val="14"/>
                <w:szCs w:val="14"/>
                <w:color w:val="auto"/>
              </w:rPr>
            </w:pPr>
          </w:p>
        </w:tc>
        <w:tc>
          <w:tcPr>
            <w:tcW w:w="700" w:type="dxa"/>
            <w:vAlign w:val="bottom"/>
            <w:tcBorders>
              <w:bottom w:val="single" w:sz="8" w:color="auto"/>
            </w:tcBorders>
            <w:shd w:val="clear" w:color="auto" w:fill="CCEDFF"/>
          </w:tcPr>
          <w:p>
            <w:pPr>
              <w:spacing w:after="0"/>
              <w:rPr>
                <w:sz w:val="14"/>
                <w:szCs w:val="14"/>
                <w:color w:val="auto"/>
              </w:rPr>
            </w:pPr>
          </w:p>
        </w:tc>
        <w:tc>
          <w:tcPr>
            <w:tcW w:w="700" w:type="dxa"/>
            <w:vAlign w:val="bottom"/>
            <w:tcBorders>
              <w:bottom w:val="single" w:sz="8" w:color="auto"/>
            </w:tcBorders>
            <w:shd w:val="clear" w:color="auto" w:fill="CCEDFF"/>
          </w:tcPr>
          <w:p>
            <w:pPr>
              <w:spacing w:after="0"/>
              <w:rPr>
                <w:sz w:val="14"/>
                <w:szCs w:val="14"/>
                <w:color w:val="auto"/>
              </w:rPr>
            </w:pPr>
          </w:p>
        </w:tc>
        <w:tc>
          <w:tcPr>
            <w:tcW w:w="680" w:type="dxa"/>
            <w:vAlign w:val="bottom"/>
            <w:tcBorders>
              <w:bottom w:val="single" w:sz="8" w:color="auto"/>
            </w:tcBorders>
            <w:shd w:val="clear" w:color="auto" w:fill="CCEDFF"/>
          </w:tcPr>
          <w:p>
            <w:pPr>
              <w:jc w:val="right"/>
              <w:ind w:right="330"/>
              <w:spacing w:after="0"/>
              <w:rPr>
                <w:sz w:val="20"/>
                <w:szCs w:val="20"/>
                <w:color w:val="auto"/>
              </w:rPr>
            </w:pPr>
            <w:r>
              <w:rPr>
                <w:rFonts w:ascii="Times New Roman" w:cs="Times New Roman" w:eastAsia="Times New Roman" w:hAnsi="Times New Roman"/>
                <w:sz w:val="11"/>
                <w:szCs w:val="11"/>
                <w:b w:val="1"/>
                <w:bCs w:val="1"/>
                <w:color w:val="auto"/>
              </w:rPr>
              <w:t>2022</w:t>
            </w:r>
          </w:p>
        </w:tc>
        <w:tc>
          <w:tcPr>
            <w:tcW w:w="360" w:type="dxa"/>
            <w:vAlign w:val="bottom"/>
            <w:tcBorders>
              <w:bottom w:val="single" w:sz="8" w:color="auto"/>
            </w:tcBorders>
            <w:shd w:val="clear" w:color="auto" w:fill="CCEDFF"/>
          </w:tcPr>
          <w:p>
            <w:pPr>
              <w:spacing w:after="0"/>
              <w:rPr>
                <w:sz w:val="14"/>
                <w:szCs w:val="14"/>
                <w:color w:val="auto"/>
              </w:rPr>
            </w:pPr>
          </w:p>
        </w:tc>
        <w:tc>
          <w:tcPr>
            <w:tcW w:w="500" w:type="dxa"/>
            <w:vAlign w:val="bottom"/>
            <w:tcBorders>
              <w:bottom w:val="single" w:sz="8" w:color="auto"/>
            </w:tcBorders>
            <w:shd w:val="clear" w:color="auto" w:fill="CCEDFF"/>
          </w:tcPr>
          <w:p>
            <w:pPr>
              <w:spacing w:after="0"/>
              <w:rPr>
                <w:sz w:val="14"/>
                <w:szCs w:val="14"/>
                <w:color w:val="auto"/>
              </w:rPr>
            </w:pPr>
          </w:p>
        </w:tc>
        <w:tc>
          <w:tcPr>
            <w:tcW w:w="660" w:type="dxa"/>
            <w:vAlign w:val="bottom"/>
            <w:tcBorders>
              <w:bottom w:val="single" w:sz="8" w:color="auto"/>
            </w:tcBorders>
            <w:shd w:val="clear" w:color="auto" w:fill="CCEDFF"/>
          </w:tcPr>
          <w:p>
            <w:pPr>
              <w:spacing w:after="0"/>
              <w:rPr>
                <w:sz w:val="14"/>
                <w:szCs w:val="14"/>
                <w:color w:val="auto"/>
              </w:rPr>
            </w:pPr>
          </w:p>
        </w:tc>
        <w:tc>
          <w:tcPr>
            <w:tcW w:w="540" w:type="dxa"/>
            <w:vAlign w:val="bottom"/>
            <w:tcBorders>
              <w:bottom w:val="single" w:sz="8" w:color="auto"/>
            </w:tcBorders>
            <w:shd w:val="clear" w:color="auto" w:fill="CCEDFF"/>
          </w:tcPr>
          <w:p>
            <w:pPr>
              <w:spacing w:after="0"/>
              <w:rPr>
                <w:sz w:val="14"/>
                <w:szCs w:val="14"/>
                <w:color w:val="auto"/>
              </w:rPr>
            </w:pPr>
          </w:p>
        </w:tc>
        <w:tc>
          <w:tcPr>
            <w:tcW w:w="640" w:type="dxa"/>
            <w:vAlign w:val="bottom"/>
            <w:tcBorders>
              <w:bottom w:val="single" w:sz="8" w:color="auto"/>
            </w:tcBorders>
            <w:shd w:val="clear" w:color="auto" w:fill="CCEDFF"/>
          </w:tcPr>
          <w:p>
            <w:pPr>
              <w:spacing w:after="0"/>
              <w:rPr>
                <w:sz w:val="14"/>
                <w:szCs w:val="14"/>
                <w:color w:val="auto"/>
              </w:rPr>
            </w:pPr>
          </w:p>
        </w:tc>
        <w:tc>
          <w:tcPr>
            <w:tcW w:w="620" w:type="dxa"/>
            <w:vAlign w:val="bottom"/>
            <w:tcBorders>
              <w:bottom w:val="single" w:sz="8" w:color="auto"/>
            </w:tcBorders>
            <w:shd w:val="clear" w:color="auto" w:fill="CCEDFF"/>
          </w:tcPr>
          <w:p>
            <w:pPr>
              <w:spacing w:after="0"/>
              <w:rPr>
                <w:sz w:val="14"/>
                <w:szCs w:val="14"/>
                <w:color w:val="auto"/>
              </w:rPr>
            </w:pPr>
          </w:p>
        </w:tc>
      </w:tr>
      <w:tr>
        <w:trPr>
          <w:trHeight w:val="149"/>
        </w:trPr>
        <w:tc>
          <w:tcPr>
            <w:tcW w:w="174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50"/>
              <w:spacing w:after="0" w:line="122" w:lineRule="exact"/>
              <w:rPr>
                <w:sz w:val="20"/>
                <w:szCs w:val="20"/>
                <w:color w:val="auto"/>
              </w:rPr>
            </w:pPr>
            <w:r>
              <w:rPr>
                <w:rFonts w:ascii="Times New Roman" w:cs="Times New Roman" w:eastAsia="Times New Roman" w:hAnsi="Times New Roman"/>
                <w:sz w:val="11"/>
                <w:szCs w:val="11"/>
                <w:b w:val="1"/>
                <w:bCs w:val="1"/>
                <w:color w:val="auto"/>
              </w:rPr>
              <w:t>Variation</w:t>
            </w:r>
          </w:p>
        </w:tc>
        <w:tc>
          <w:tcPr>
            <w:tcW w:w="340" w:type="dxa"/>
            <w:vAlign w:val="bottom"/>
            <w:tcBorders>
              <w:bottom w:val="single" w:sz="8" w:color="auto"/>
            </w:tcBorders>
          </w:tcPr>
          <w:p>
            <w:pPr>
              <w:jc w:val="right"/>
              <w:ind w:right="90"/>
              <w:spacing w:after="0" w:line="122" w:lineRule="exact"/>
              <w:rPr>
                <w:sz w:val="20"/>
                <w:szCs w:val="20"/>
                <w:color w:val="auto"/>
              </w:rPr>
            </w:pPr>
            <w:r>
              <w:rPr>
                <w:rFonts w:ascii="Times New Roman" w:cs="Times New Roman" w:eastAsia="Times New Roman" w:hAnsi="Times New Roman"/>
                <w:sz w:val="11"/>
                <w:szCs w:val="11"/>
                <w:b w:val="1"/>
                <w:bCs w:val="1"/>
                <w:color w:val="auto"/>
              </w:rPr>
              <w:t>%</w:t>
            </w:r>
          </w:p>
        </w:tc>
        <w:tc>
          <w:tcPr>
            <w:tcW w:w="8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December</w:t>
            </w:r>
          </w:p>
        </w:tc>
        <w:tc>
          <w:tcPr>
            <w:tcW w:w="7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January</w:t>
            </w:r>
          </w:p>
        </w:tc>
        <w:tc>
          <w:tcPr>
            <w:tcW w:w="74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February</w:t>
            </w:r>
          </w:p>
        </w:tc>
        <w:tc>
          <w:tcPr>
            <w:tcW w:w="72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1"/>
                <w:szCs w:val="11"/>
                <w:b w:val="1"/>
                <w:bCs w:val="1"/>
                <w:color w:val="auto"/>
              </w:rPr>
              <w:t>March</w:t>
            </w:r>
          </w:p>
        </w:tc>
        <w:tc>
          <w:tcPr>
            <w:tcW w:w="70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1"/>
                <w:szCs w:val="11"/>
                <w:b w:val="1"/>
                <w:bCs w:val="1"/>
                <w:color w:val="auto"/>
              </w:rPr>
              <w:t>April</w:t>
            </w:r>
          </w:p>
        </w:tc>
        <w:tc>
          <w:tcPr>
            <w:tcW w:w="70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1"/>
                <w:szCs w:val="11"/>
                <w:b w:val="1"/>
                <w:bCs w:val="1"/>
                <w:color w:val="auto"/>
              </w:rPr>
              <w:t>May</w:t>
            </w:r>
          </w:p>
        </w:tc>
        <w:tc>
          <w:tcPr>
            <w:tcW w:w="68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1"/>
                <w:szCs w:val="11"/>
                <w:b w:val="1"/>
                <w:bCs w:val="1"/>
                <w:color w:val="auto"/>
              </w:rPr>
              <w:t>June</w:t>
            </w:r>
          </w:p>
        </w:tc>
        <w:tc>
          <w:tcPr>
            <w:tcW w:w="36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1"/>
                <w:szCs w:val="11"/>
                <w:b w:val="1"/>
                <w:bCs w:val="1"/>
                <w:color w:val="auto"/>
              </w:rPr>
              <w:t>July</w:t>
            </w:r>
          </w:p>
        </w:tc>
        <w:tc>
          <w:tcPr>
            <w:tcW w:w="50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August</w:t>
            </w:r>
          </w:p>
        </w:tc>
        <w:tc>
          <w:tcPr>
            <w:tcW w:w="66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September</w:t>
            </w:r>
          </w:p>
        </w:tc>
        <w:tc>
          <w:tcPr>
            <w:tcW w:w="54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October</w:t>
            </w:r>
          </w:p>
        </w:tc>
        <w:tc>
          <w:tcPr>
            <w:tcW w:w="64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November</w:t>
            </w:r>
          </w:p>
        </w:tc>
        <w:tc>
          <w:tcPr>
            <w:tcW w:w="62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1"/>
                <w:szCs w:val="11"/>
                <w:b w:val="1"/>
                <w:bCs w:val="1"/>
                <w:color w:val="auto"/>
              </w:rPr>
              <w:t>December</w:t>
            </w:r>
          </w:p>
        </w:tc>
      </w:tr>
      <w:tr>
        <w:trPr>
          <w:trHeight w:val="148"/>
        </w:trPr>
        <w:tc>
          <w:tcPr>
            <w:tcW w:w="17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LIQUID ASSETS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-385,758.66</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-30.80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1,252,646.71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1,279,700.07</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1,014,536.79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653,320.16</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770,165.62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738,481.73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866,888.05</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Local Deposits in Banks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99.06</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6,031.69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3,236.30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8,480.28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5,103.62</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8,272.13</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8,263.51</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6,130.76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1,849.06</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68.95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2,681.69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1,636.30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3,380.28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3,503.62</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4,922.13</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4,913.51</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4,530.76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-1,750.00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-52.24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1,600.00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5,100.00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1,600.00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3,350.00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1,600.00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Foreign Deposits in Banks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-385,857.73</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-30.95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1,246,615.02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1,276,463.77</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1,006,056.51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648,216.54</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761,893.49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730,218.23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860,757.29</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-410,857.73</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-32.96</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1,246,615.02</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1,251,463.77</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981,056.51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648,216.54</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736,893.49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705,218.23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835,757.29</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25,000.00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25,000.00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25,000.00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25,000.00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25,000.00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25,000.00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Less Allowance</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Others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CREDIT PORTFOLIO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1,024,935.77</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17.98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5,698,896.65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5,531,284.34</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5,740,705.63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6,429,334.06</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6,571,922.44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6,433,304.33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6,723,832.42</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-43,880.13</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-10.21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429,687.89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449,915.21</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448,537.61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450,782.90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415,274.05</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397,911.24</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385,807.76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1,077,789.30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20.30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5,310,087.34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5,123,396.68</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5,337,749.63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6,027,076.59</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6,205,903.12</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6,085,944.90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6,387,876.64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Less Allowance</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8,973.40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40,878.58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42,027.54</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45,581.61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48,525.43</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49,254.73</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50,551.81</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49,851.98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-534.22</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-7.95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6,720.73</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6,787.32</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7,064.17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6,484.52</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6,304.07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6,174.93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6,186.51</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9,507.62</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27.83</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34,157.85</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35,240.22</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38,517.44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42,040.91</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42,950.66</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44,376.88</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43,665.46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INVESTMENT SECURITIES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276,426.08</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33.09</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835,464.65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877,315.69</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900,609.11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1,101,049.68</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1,141,122.90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1,126,248.48</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1,111,890.73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1,302.93</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5.71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22,807.68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26,818.67</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24,464.80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24,195.28</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24,166.21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24,139.05</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24,110.61</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276,240.02</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33.92</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814,447.46</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852,351.24</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878,355.91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1,079,397.43</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1,119,599.98</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1,104,769.23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1,090,687.48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Less Allowance</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1,116.86</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62.38</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1,790.49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1,854.21</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2,211.59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2,543.04</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2,643.29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2,659.80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2,907.36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2.68</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5.82</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46.00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54.24</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49.64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49.27</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48.64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48.58</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48.68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1,114.19</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63.87</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1,744.49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1,799.97</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2,161.95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2,493.77</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2,594.65</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2,611.22</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2,858.68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OTHER ASSETS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-29,458.11</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-11.14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264,472.07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223,269.70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213,827.08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287,841.18</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337,536.48</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222,483.64</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235,013.96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25,182.44</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96.31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26,146.47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25,769.44</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38,837.86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-44,124.64</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50,586.84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49,087.80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51,328.92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-54,640.55</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-22.93</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238,325.59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197,500.26</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174,989.22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331,965.82</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286,949.64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173,395.84</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183,685.04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TOTAL ASSETS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886,145.08</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11.01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8,051,480.07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7,911,569.81</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7,869,678.62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8,471,545.07</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8,820,747.43</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8,520,518.18</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8,937,625.16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54"/>
        </w:trPr>
        <w:tc>
          <w:tcPr>
            <w:tcW w:w="1740" w:type="dxa"/>
            <w:vAlign w:val="bottom"/>
          </w:tcPr>
          <w:p>
            <w:pPr>
              <w:spacing w:after="0"/>
              <w:rPr>
                <w:sz w:val="4"/>
                <w:szCs w:val="4"/>
                <w:color w:val="auto"/>
              </w:rPr>
            </w:pPr>
          </w:p>
        </w:tc>
        <w:tc>
          <w:tcPr>
            <w:tcW w:w="780" w:type="dxa"/>
            <w:vAlign w:val="bottom"/>
          </w:tcPr>
          <w:p>
            <w:pPr>
              <w:spacing w:after="0"/>
              <w:rPr>
                <w:sz w:val="4"/>
                <w:szCs w:val="4"/>
                <w:color w:val="auto"/>
              </w:rPr>
            </w:pPr>
          </w:p>
        </w:tc>
        <w:tc>
          <w:tcPr>
            <w:tcW w:w="340" w:type="dxa"/>
            <w:vAlign w:val="bottom"/>
          </w:tcPr>
          <w:p>
            <w:pPr>
              <w:spacing w:after="0"/>
              <w:rPr>
                <w:sz w:val="4"/>
                <w:szCs w:val="4"/>
                <w:color w:val="auto"/>
              </w:rPr>
            </w:pPr>
          </w:p>
        </w:tc>
        <w:tc>
          <w:tcPr>
            <w:tcW w:w="800" w:type="dxa"/>
            <w:vAlign w:val="bottom"/>
          </w:tcPr>
          <w:p>
            <w:pPr>
              <w:spacing w:after="0"/>
              <w:rPr>
                <w:sz w:val="4"/>
                <w:szCs w:val="4"/>
                <w:color w:val="auto"/>
              </w:rPr>
            </w:pPr>
          </w:p>
        </w:tc>
        <w:tc>
          <w:tcPr>
            <w:tcW w:w="700" w:type="dxa"/>
            <w:vAlign w:val="bottom"/>
          </w:tcPr>
          <w:p>
            <w:pPr>
              <w:spacing w:after="0"/>
              <w:rPr>
                <w:sz w:val="4"/>
                <w:szCs w:val="4"/>
                <w:color w:val="auto"/>
              </w:rPr>
            </w:pPr>
          </w:p>
        </w:tc>
        <w:tc>
          <w:tcPr>
            <w:tcW w:w="740" w:type="dxa"/>
            <w:vAlign w:val="bottom"/>
          </w:tcPr>
          <w:p>
            <w:pPr>
              <w:spacing w:after="0"/>
              <w:rPr>
                <w:sz w:val="4"/>
                <w:szCs w:val="4"/>
                <w:color w:val="auto"/>
              </w:rPr>
            </w:pPr>
          </w:p>
        </w:tc>
        <w:tc>
          <w:tcPr>
            <w:tcW w:w="720" w:type="dxa"/>
            <w:vAlign w:val="bottom"/>
          </w:tcPr>
          <w:p>
            <w:pPr>
              <w:spacing w:after="0"/>
              <w:rPr>
                <w:sz w:val="4"/>
                <w:szCs w:val="4"/>
                <w:color w:val="auto"/>
              </w:rPr>
            </w:pPr>
          </w:p>
        </w:tc>
        <w:tc>
          <w:tcPr>
            <w:tcW w:w="700" w:type="dxa"/>
            <w:vAlign w:val="bottom"/>
          </w:tcPr>
          <w:p>
            <w:pPr>
              <w:spacing w:after="0"/>
              <w:rPr>
                <w:sz w:val="4"/>
                <w:szCs w:val="4"/>
                <w:color w:val="auto"/>
              </w:rPr>
            </w:pPr>
          </w:p>
        </w:tc>
        <w:tc>
          <w:tcPr>
            <w:tcW w:w="700" w:type="dxa"/>
            <w:vAlign w:val="bottom"/>
          </w:tcPr>
          <w:p>
            <w:pPr>
              <w:spacing w:after="0"/>
              <w:rPr>
                <w:sz w:val="4"/>
                <w:szCs w:val="4"/>
                <w:color w:val="auto"/>
              </w:rPr>
            </w:pPr>
          </w:p>
        </w:tc>
        <w:tc>
          <w:tcPr>
            <w:tcW w:w="680" w:type="dxa"/>
            <w:vAlign w:val="bottom"/>
          </w:tcPr>
          <w:p>
            <w:pPr>
              <w:spacing w:after="0"/>
              <w:rPr>
                <w:sz w:val="4"/>
                <w:szCs w:val="4"/>
                <w:color w:val="auto"/>
              </w:rPr>
            </w:pPr>
          </w:p>
        </w:tc>
        <w:tc>
          <w:tcPr>
            <w:tcW w:w="360" w:type="dxa"/>
            <w:vAlign w:val="bottom"/>
          </w:tcPr>
          <w:p>
            <w:pPr>
              <w:spacing w:after="0"/>
              <w:rPr>
                <w:sz w:val="4"/>
                <w:szCs w:val="4"/>
                <w:color w:val="auto"/>
              </w:rPr>
            </w:pPr>
          </w:p>
        </w:tc>
        <w:tc>
          <w:tcPr>
            <w:tcW w:w="500" w:type="dxa"/>
            <w:vAlign w:val="bottom"/>
          </w:tcPr>
          <w:p>
            <w:pPr>
              <w:spacing w:after="0"/>
              <w:rPr>
                <w:sz w:val="4"/>
                <w:szCs w:val="4"/>
                <w:color w:val="auto"/>
              </w:rPr>
            </w:pPr>
          </w:p>
        </w:tc>
        <w:tc>
          <w:tcPr>
            <w:tcW w:w="660" w:type="dxa"/>
            <w:vAlign w:val="bottom"/>
          </w:tcPr>
          <w:p>
            <w:pPr>
              <w:spacing w:after="0"/>
              <w:rPr>
                <w:sz w:val="4"/>
                <w:szCs w:val="4"/>
                <w:color w:val="auto"/>
              </w:rPr>
            </w:pPr>
          </w:p>
        </w:tc>
        <w:tc>
          <w:tcPr>
            <w:tcW w:w="540" w:type="dxa"/>
            <w:vAlign w:val="bottom"/>
          </w:tcPr>
          <w:p>
            <w:pPr>
              <w:spacing w:after="0"/>
              <w:rPr>
                <w:sz w:val="4"/>
                <w:szCs w:val="4"/>
                <w:color w:val="auto"/>
              </w:rPr>
            </w:pPr>
          </w:p>
        </w:tc>
        <w:tc>
          <w:tcPr>
            <w:tcW w:w="640" w:type="dxa"/>
            <w:vAlign w:val="bottom"/>
          </w:tcPr>
          <w:p>
            <w:pPr>
              <w:spacing w:after="0"/>
              <w:rPr>
                <w:sz w:val="4"/>
                <w:szCs w:val="4"/>
                <w:color w:val="auto"/>
              </w:rPr>
            </w:pPr>
          </w:p>
        </w:tc>
        <w:tc>
          <w:tcPr>
            <w:tcW w:w="620" w:type="dxa"/>
            <w:vAlign w:val="bottom"/>
          </w:tcPr>
          <w:p>
            <w:pPr>
              <w:spacing w:after="0"/>
              <w:rPr>
                <w:sz w:val="4"/>
                <w:szCs w:val="4"/>
                <w:color w:val="auto"/>
              </w:rPr>
            </w:pPr>
          </w:p>
        </w:tc>
      </w:tr>
      <w:tr>
        <w:trPr>
          <w:trHeight w:val="148"/>
        </w:trPr>
        <w:tc>
          <w:tcPr>
            <w:tcW w:w="17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DEPOSITS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73,450.54</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3,036,227.92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3,024,973.12</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3,052,586.36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3,255,867.58</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3,105,378.88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2,922,198.67</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3,109,678.46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73,460.84</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12.58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584,139.79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575,480.80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628,356.95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713,323.75</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732,839.62</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634,931.13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657,600.63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Government</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Customers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45,775.39</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18.95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241,544.54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237,966.45</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291,330.38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372,280.05</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355,838.96</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296,971.24</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287,319.93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1.95</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0.03</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6,242.76</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6,665.18</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6,532.74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6,228.82</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6,236.10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6,240.53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6,244.70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45,773.44</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19.45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235,301.79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231,301.27</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284,797.64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366,051.23</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349,602.85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290,730.71</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281,075.23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Savings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From Banks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27,685.45</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8.08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342,595.24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337,514.35</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337,026.57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341,043.70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377,000.67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337,959.89</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370,280.70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27,685.45</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8.08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342,595.24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337,514.35</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337,026.57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341,043.70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377,000.67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337,959.89</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370,280.70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-10.30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2,452,088.13</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2,449,492.32</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2,424,229.41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2,542,543.83</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2,372,539.26</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2,287,267.54</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2,452,077.84</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Government</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Customers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74,464.23</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36.32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204,996.45</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287,097.99</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315,629.49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272,281.32</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262,217.92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299,828.86</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279,460.68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-3,573.07</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-64.76</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5,517.74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1,696.08</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7,241.43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1,285.36</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912.38</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5,799.83</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1,944.68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78,037.29</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39.12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199,478.70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285,401.91</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308,388.06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270,995.95</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261,305.54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294,029.03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277,516.00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Savings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From Banks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-74,474.52</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-3.31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2,247,091.68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2,162,394.33</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2,108,599.92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2,270,262.52</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2,110,321.34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1,987,438.69</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2,172,617.16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Demand</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-34,547.78</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-9.85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350,595.25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284,525.97</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310,530.51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428,622.40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312,993.13</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335,337.65</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316,047.46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Time</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-39,926.74</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1,896,496.44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1,877,868.36</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1,798,069.41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1,841,640.12</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1,797,328.20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1,652,101.03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1,856,569.70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BORROWINGS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800,084.18</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21.44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3,731,675.21</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3,624,113.19</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3,582,312.78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3,909,047.69</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4,331,745.14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4,312,967.96</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4,531,759.38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39,755.42</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39,739.50</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39,744.80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39,750.18</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39,755.42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7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760,328.75</w:t>
            </w:r>
          </w:p>
        </w:tc>
        <w:tc>
          <w:tcPr>
            <w:tcW w:w="3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20.37</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3,731,675.21</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3,624,113.19</w:t>
            </w:r>
          </w:p>
        </w:tc>
        <w:tc>
          <w:tcPr>
            <w:tcW w:w="7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3,582,312.78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3,869,308.20</w:t>
            </w:r>
          </w:p>
        </w:tc>
        <w:tc>
          <w:tcPr>
            <w:tcW w:w="7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4,292,000.35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4,273,217.78</w:t>
            </w:r>
          </w:p>
        </w:tc>
        <w:tc>
          <w:tcPr>
            <w:tcW w:w="6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4,492,003.96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7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OTHER LIABILITIES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-14,256.10</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-5.10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279,339.48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249,830.66</w:t>
            </w:r>
          </w:p>
        </w:tc>
        <w:tc>
          <w:tcPr>
            <w:tcW w:w="74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218,546.02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289,586.34</w:t>
            </w:r>
          </w:p>
        </w:tc>
        <w:tc>
          <w:tcPr>
            <w:tcW w:w="7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360,578.96</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264,926.63</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265,083.37</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5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bl>
    <w:p>
      <w:pPr>
        <w:sectPr>
          <w:pgSz w:w="11900" w:h="16838" w:orient="portrait"/>
          <w:cols w:equalWidth="0" w:num="1">
            <w:col w:w="11220"/>
          </w:cols>
          <w:pgMar w:left="320" w:top="1009" w:right="35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33"/>
        </w:trPr>
        <w:tc>
          <w:tcPr>
            <w:tcW w:w="18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Local</w:t>
            </w:r>
          </w:p>
        </w:tc>
        <w:tc>
          <w:tcPr>
            <w:tcW w:w="660" w:type="dxa"/>
            <w:vAlign w:val="bottom"/>
          </w:tcPr>
          <w:p>
            <w:pPr>
              <w:jc w:val="right"/>
              <w:ind w:right="11"/>
              <w:spacing w:after="0"/>
              <w:rPr>
                <w:sz w:val="20"/>
                <w:szCs w:val="20"/>
                <w:color w:val="auto"/>
              </w:rPr>
            </w:pPr>
            <w:r>
              <w:rPr>
                <w:rFonts w:ascii="Times New Roman" w:cs="Times New Roman" w:eastAsia="Times New Roman" w:hAnsi="Times New Roman"/>
                <w:sz w:val="10"/>
                <w:szCs w:val="10"/>
                <w:color w:val="auto"/>
              </w:rPr>
              <w:t>39,592.64</w:t>
            </w:r>
          </w:p>
        </w:tc>
        <w:tc>
          <w:tcPr>
            <w:tcW w:w="46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166.21</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23,820.46</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28,196.42</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25,376.99</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52,511.18</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46,835.88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71,040.30</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63,413.10</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8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Foreign</w:t>
            </w:r>
          </w:p>
        </w:tc>
        <w:tc>
          <w:tcPr>
            <w:tcW w:w="66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-53,848.75</w:t>
            </w:r>
          </w:p>
        </w:tc>
        <w:tc>
          <w:tcPr>
            <w:tcW w:w="46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-21.07</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255,519.02</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221,634.24</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193,169.03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237,075.16</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313,743.08</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193,886.33</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201,670.27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84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STOCKHOLDERS´ EQUITY</w:t>
            </w:r>
          </w:p>
        </w:tc>
        <w:tc>
          <w:tcPr>
            <w:tcW w:w="660" w:type="dxa"/>
            <w:vAlign w:val="bottom"/>
          </w:tcPr>
          <w:p>
            <w:pPr>
              <w:jc w:val="right"/>
              <w:ind w:right="11"/>
              <w:spacing w:after="0"/>
              <w:rPr>
                <w:sz w:val="20"/>
                <w:szCs w:val="20"/>
                <w:color w:val="auto"/>
              </w:rPr>
            </w:pPr>
            <w:r>
              <w:rPr>
                <w:rFonts w:ascii="Times New Roman" w:cs="Times New Roman" w:eastAsia="Times New Roman" w:hAnsi="Times New Roman"/>
                <w:sz w:val="10"/>
                <w:szCs w:val="10"/>
                <w:color w:val="auto"/>
              </w:rPr>
              <w:t>26,866.47</w:t>
            </w:r>
          </w:p>
        </w:tc>
        <w:tc>
          <w:tcPr>
            <w:tcW w:w="46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2.68</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1,004,237.47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1,012,652.84</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1,016,233.46</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1,017,043.45</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1,023,044.45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1,020,424.92</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1,031,103.93</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8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Capital</w:t>
            </w:r>
          </w:p>
        </w:tc>
        <w:tc>
          <w:tcPr>
            <w:tcW w:w="66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1,213.81</w:t>
            </w:r>
          </w:p>
        </w:tc>
        <w:tc>
          <w:tcPr>
            <w:tcW w:w="46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0.43</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284,085.03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284,221.09</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284,322.15</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284,502.95</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284,734.96</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284,987.99</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285,298.85</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8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Capital Reserves</w:t>
            </w:r>
          </w:p>
        </w:tc>
        <w:tc>
          <w:tcPr>
            <w:tcW w:w="660" w:type="dxa"/>
            <w:vAlign w:val="bottom"/>
          </w:tcPr>
          <w:p>
            <w:pPr>
              <w:jc w:val="right"/>
              <w:ind w:right="11"/>
              <w:spacing w:after="0"/>
              <w:rPr>
                <w:sz w:val="20"/>
                <w:szCs w:val="20"/>
                <w:color w:val="auto"/>
              </w:rPr>
            </w:pPr>
            <w:r>
              <w:rPr>
                <w:rFonts w:ascii="Times New Roman" w:cs="Times New Roman" w:eastAsia="Times New Roman" w:hAnsi="Times New Roman"/>
                <w:sz w:val="10"/>
                <w:szCs w:val="10"/>
                <w:color w:val="auto"/>
              </w:rPr>
              <w:t>0.00</w:t>
            </w:r>
          </w:p>
        </w:tc>
        <w:tc>
          <w:tcPr>
            <w:tcW w:w="46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95,210.15</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8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Other Reserves</w:t>
            </w:r>
          </w:p>
        </w:tc>
        <w:tc>
          <w:tcPr>
            <w:tcW w:w="66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0.00</w:t>
            </w:r>
          </w:p>
        </w:tc>
        <w:tc>
          <w:tcPr>
            <w:tcW w:w="46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84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Dynamic Provision</w:t>
            </w:r>
          </w:p>
        </w:tc>
        <w:tc>
          <w:tcPr>
            <w:tcW w:w="660" w:type="dxa"/>
            <w:vAlign w:val="bottom"/>
          </w:tcPr>
          <w:p>
            <w:pPr>
              <w:jc w:val="right"/>
              <w:ind w:right="11"/>
              <w:spacing w:after="0"/>
              <w:rPr>
                <w:sz w:val="20"/>
                <w:szCs w:val="20"/>
                <w:color w:val="auto"/>
              </w:rPr>
            </w:pPr>
            <w:r>
              <w:rPr>
                <w:rFonts w:ascii="Times New Roman" w:cs="Times New Roman" w:eastAsia="Times New Roman" w:hAnsi="Times New Roman"/>
                <w:sz w:val="10"/>
                <w:szCs w:val="10"/>
                <w:color w:val="auto"/>
              </w:rPr>
              <w:t>0.00</w:t>
            </w:r>
          </w:p>
        </w:tc>
        <w:tc>
          <w:tcPr>
            <w:tcW w:w="46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84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Other Reserves</w:t>
            </w:r>
          </w:p>
        </w:tc>
        <w:tc>
          <w:tcPr>
            <w:tcW w:w="66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0.00</w:t>
            </w:r>
          </w:p>
        </w:tc>
        <w:tc>
          <w:tcPr>
            <w:tcW w:w="46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8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Retained Earnings</w:t>
            </w:r>
          </w:p>
        </w:tc>
        <w:tc>
          <w:tcPr>
            <w:tcW w:w="660" w:type="dxa"/>
            <w:vAlign w:val="bottom"/>
          </w:tcPr>
          <w:p>
            <w:pPr>
              <w:jc w:val="right"/>
              <w:ind w:right="11"/>
              <w:spacing w:after="0"/>
              <w:rPr>
                <w:sz w:val="20"/>
                <w:szCs w:val="20"/>
                <w:color w:val="auto"/>
              </w:rPr>
            </w:pPr>
            <w:r>
              <w:rPr>
                <w:rFonts w:ascii="Times New Roman" w:cs="Times New Roman" w:eastAsia="Times New Roman" w:hAnsi="Times New Roman"/>
                <w:sz w:val="10"/>
                <w:szCs w:val="10"/>
                <w:color w:val="auto"/>
              </w:rPr>
              <w:t>44,919.63</w:t>
            </w:r>
          </w:p>
        </w:tc>
        <w:tc>
          <w:tcPr>
            <w:tcW w:w="46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10.27</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437,402.81</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500,471.97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500,471.97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491,405.08</w:t>
            </w:r>
          </w:p>
        </w:tc>
        <w:tc>
          <w:tcPr>
            <w:tcW w:w="70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491,405.08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482,322.44</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482,322.44</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8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Net Income</w:t>
            </w:r>
          </w:p>
        </w:tc>
        <w:tc>
          <w:tcPr>
            <w:tcW w:w="660" w:type="dxa"/>
            <w:vAlign w:val="bottom"/>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-28,809.38</w:t>
            </w:r>
          </w:p>
        </w:tc>
        <w:tc>
          <w:tcPr>
            <w:tcW w:w="46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-45.68</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63,069.15</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5,660.16</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7,943.51</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11,157.53</w:t>
            </w:r>
          </w:p>
        </w:tc>
        <w:tc>
          <w:tcPr>
            <w:tcW w:w="70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17,407.60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24,497.60</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34,259.77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18"/>
        </w:trPr>
        <w:tc>
          <w:tcPr>
            <w:tcW w:w="184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Gain or Loss in Securities available for</w:t>
            </w:r>
          </w:p>
        </w:tc>
        <w:tc>
          <w:tcPr>
            <w:tcW w:w="660" w:type="dxa"/>
            <w:vAlign w:val="bottom"/>
            <w:vMerge w:val="restart"/>
          </w:tcPr>
          <w:p>
            <w:pPr>
              <w:jc w:val="right"/>
              <w:ind w:right="11"/>
              <w:spacing w:after="0"/>
              <w:rPr>
                <w:sz w:val="20"/>
                <w:szCs w:val="20"/>
                <w:color w:val="auto"/>
              </w:rPr>
            </w:pPr>
            <w:r>
              <w:rPr>
                <w:rFonts w:ascii="Times New Roman" w:cs="Times New Roman" w:eastAsia="Times New Roman" w:hAnsi="Times New Roman"/>
                <w:sz w:val="10"/>
                <w:szCs w:val="10"/>
                <w:color w:val="auto"/>
              </w:rPr>
              <w:t>9,542.41</w:t>
            </w:r>
          </w:p>
        </w:tc>
        <w:tc>
          <w:tcPr>
            <w:tcW w:w="46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-82.63</w:t>
            </w:r>
          </w:p>
        </w:tc>
        <w:tc>
          <w:tcPr>
            <w:tcW w:w="70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-11,548.26</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-8,929.11</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-7,732.90</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-1,250.83</w:t>
            </w:r>
          </w:p>
        </w:tc>
        <w:tc>
          <w:tcPr>
            <w:tcW w:w="70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-1,731.91</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-2,611.84</w:t>
            </w:r>
          </w:p>
        </w:tc>
        <w:tc>
          <w:tcPr>
            <w:tcW w:w="700" w:type="dxa"/>
            <w:vAlign w:val="bottom"/>
            <w:vMerge w:val="restart"/>
          </w:tcPr>
          <w:p>
            <w:pPr>
              <w:jc w:val="right"/>
              <w:ind w:right="31"/>
              <w:spacing w:after="0"/>
              <w:rPr>
                <w:sz w:val="20"/>
                <w:szCs w:val="20"/>
                <w:color w:val="auto"/>
              </w:rPr>
            </w:pPr>
            <w:r>
              <w:rPr>
                <w:rFonts w:ascii="Times New Roman" w:cs="Times New Roman" w:eastAsia="Times New Roman" w:hAnsi="Times New Roman"/>
                <w:sz w:val="10"/>
                <w:szCs w:val="10"/>
                <w:color w:val="auto"/>
              </w:rPr>
              <w:t>-2,005.85</w:t>
            </w:r>
          </w:p>
        </w:tc>
        <w:tc>
          <w:tcPr>
            <w:tcW w:w="420" w:type="dxa"/>
            <w:vAlign w:val="bottom"/>
            <w:vMerge w:val="restart"/>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vMerge w:val="restart"/>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vMerge w:val="restart"/>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vMerge w:val="restart"/>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vMerge w:val="restart"/>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vMerge w:val="restart"/>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74"/>
        </w:trPr>
        <w:tc>
          <w:tcPr>
            <w:tcW w:w="1840" w:type="dxa"/>
            <w:vAlign w:val="bottom"/>
            <w:vMerge w:val="restart"/>
          </w:tcPr>
          <w:p>
            <w:pPr>
              <w:ind w:left="140"/>
              <w:spacing w:after="0"/>
              <w:rPr>
                <w:sz w:val="20"/>
                <w:szCs w:val="20"/>
                <w:color w:val="auto"/>
              </w:rPr>
            </w:pPr>
            <w:r>
              <w:rPr>
                <w:rFonts w:ascii="Times New Roman" w:cs="Times New Roman" w:eastAsia="Times New Roman" w:hAnsi="Times New Roman"/>
                <w:sz w:val="10"/>
                <w:szCs w:val="10"/>
                <w:color w:val="auto"/>
              </w:rPr>
              <w:t>sale</w:t>
            </w:r>
          </w:p>
        </w:tc>
        <w:tc>
          <w:tcPr>
            <w:tcW w:w="660" w:type="dxa"/>
            <w:vAlign w:val="bottom"/>
            <w:vMerge w:val="continue"/>
          </w:tcPr>
          <w:p>
            <w:pPr>
              <w:spacing w:after="0"/>
              <w:rPr>
                <w:sz w:val="6"/>
                <w:szCs w:val="6"/>
                <w:color w:val="auto"/>
              </w:rPr>
            </w:pPr>
          </w:p>
        </w:tc>
        <w:tc>
          <w:tcPr>
            <w:tcW w:w="460" w:type="dxa"/>
            <w:vAlign w:val="bottom"/>
            <w:vMerge w:val="continue"/>
          </w:tcPr>
          <w:p>
            <w:pPr>
              <w:spacing w:after="0"/>
              <w:rPr>
                <w:sz w:val="6"/>
                <w:szCs w:val="6"/>
                <w:color w:val="auto"/>
              </w:rPr>
            </w:pPr>
          </w:p>
        </w:tc>
        <w:tc>
          <w:tcPr>
            <w:tcW w:w="70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0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00" w:type="dxa"/>
            <w:vAlign w:val="bottom"/>
            <w:vMerge w:val="continue"/>
          </w:tcPr>
          <w:p>
            <w:pPr>
              <w:spacing w:after="0"/>
              <w:rPr>
                <w:sz w:val="6"/>
                <w:szCs w:val="6"/>
                <w:color w:val="auto"/>
              </w:rPr>
            </w:pPr>
          </w:p>
        </w:tc>
        <w:tc>
          <w:tcPr>
            <w:tcW w:w="420" w:type="dxa"/>
            <w:vAlign w:val="bottom"/>
            <w:vMerge w:val="continue"/>
          </w:tcPr>
          <w:p>
            <w:pPr>
              <w:spacing w:after="0"/>
              <w:rPr>
                <w:sz w:val="6"/>
                <w:szCs w:val="6"/>
                <w:color w:val="auto"/>
              </w:rPr>
            </w:pPr>
          </w:p>
        </w:tc>
        <w:tc>
          <w:tcPr>
            <w:tcW w:w="580" w:type="dxa"/>
            <w:vAlign w:val="bottom"/>
            <w:vMerge w:val="continue"/>
          </w:tcPr>
          <w:p>
            <w:pPr>
              <w:spacing w:after="0"/>
              <w:rPr>
                <w:sz w:val="6"/>
                <w:szCs w:val="6"/>
                <w:color w:val="auto"/>
              </w:rPr>
            </w:pPr>
          </w:p>
        </w:tc>
        <w:tc>
          <w:tcPr>
            <w:tcW w:w="600" w:type="dxa"/>
            <w:vAlign w:val="bottom"/>
            <w:vMerge w:val="continue"/>
          </w:tcPr>
          <w:p>
            <w:pPr>
              <w:spacing w:after="0"/>
              <w:rPr>
                <w:sz w:val="6"/>
                <w:szCs w:val="6"/>
                <w:color w:val="auto"/>
              </w:rPr>
            </w:pPr>
          </w:p>
        </w:tc>
        <w:tc>
          <w:tcPr>
            <w:tcW w:w="600" w:type="dxa"/>
            <w:vAlign w:val="bottom"/>
            <w:vMerge w:val="continue"/>
          </w:tcPr>
          <w:p>
            <w:pPr>
              <w:spacing w:after="0"/>
              <w:rPr>
                <w:sz w:val="6"/>
                <w:szCs w:val="6"/>
                <w:color w:val="auto"/>
              </w:rPr>
            </w:pPr>
          </w:p>
        </w:tc>
        <w:tc>
          <w:tcPr>
            <w:tcW w:w="660" w:type="dxa"/>
            <w:vAlign w:val="bottom"/>
            <w:vMerge w:val="continue"/>
          </w:tcPr>
          <w:p>
            <w:pPr>
              <w:spacing w:after="0"/>
              <w:rPr>
                <w:sz w:val="6"/>
                <w:szCs w:val="6"/>
                <w:color w:val="auto"/>
              </w:rPr>
            </w:pPr>
          </w:p>
        </w:tc>
        <w:tc>
          <w:tcPr>
            <w:tcW w:w="42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59"/>
        </w:trPr>
        <w:tc>
          <w:tcPr>
            <w:tcW w:w="1840" w:type="dxa"/>
            <w:vAlign w:val="bottom"/>
            <w:vMerge w:val="continue"/>
          </w:tcPr>
          <w:p>
            <w:pPr>
              <w:spacing w:after="0"/>
              <w:rPr>
                <w:sz w:val="5"/>
                <w:szCs w:val="5"/>
                <w:color w:val="auto"/>
              </w:rPr>
            </w:pPr>
          </w:p>
        </w:tc>
        <w:tc>
          <w:tcPr>
            <w:tcW w:w="660" w:type="dxa"/>
            <w:vAlign w:val="bottom"/>
          </w:tcPr>
          <w:p>
            <w:pPr>
              <w:spacing w:after="0"/>
              <w:rPr>
                <w:sz w:val="5"/>
                <w:szCs w:val="5"/>
                <w:color w:val="auto"/>
              </w:rPr>
            </w:pPr>
          </w:p>
        </w:tc>
        <w:tc>
          <w:tcPr>
            <w:tcW w:w="460" w:type="dxa"/>
            <w:vAlign w:val="bottom"/>
          </w:tcPr>
          <w:p>
            <w:pPr>
              <w:spacing w:after="0"/>
              <w:rPr>
                <w:sz w:val="5"/>
                <w:szCs w:val="5"/>
                <w:color w:val="auto"/>
              </w:rPr>
            </w:pPr>
          </w:p>
        </w:tc>
        <w:tc>
          <w:tcPr>
            <w:tcW w:w="700" w:type="dxa"/>
            <w:vAlign w:val="bottom"/>
          </w:tcPr>
          <w:p>
            <w:pPr>
              <w:spacing w:after="0"/>
              <w:rPr>
                <w:sz w:val="5"/>
                <w:szCs w:val="5"/>
                <w:color w:val="auto"/>
              </w:rPr>
            </w:pPr>
          </w:p>
        </w:tc>
        <w:tc>
          <w:tcPr>
            <w:tcW w:w="720" w:type="dxa"/>
            <w:vAlign w:val="bottom"/>
          </w:tcPr>
          <w:p>
            <w:pPr>
              <w:spacing w:after="0"/>
              <w:rPr>
                <w:sz w:val="5"/>
                <w:szCs w:val="5"/>
                <w:color w:val="auto"/>
              </w:rPr>
            </w:pPr>
          </w:p>
        </w:tc>
        <w:tc>
          <w:tcPr>
            <w:tcW w:w="720" w:type="dxa"/>
            <w:vAlign w:val="bottom"/>
          </w:tcPr>
          <w:p>
            <w:pPr>
              <w:spacing w:after="0"/>
              <w:rPr>
                <w:sz w:val="5"/>
                <w:szCs w:val="5"/>
                <w:color w:val="auto"/>
              </w:rPr>
            </w:pPr>
          </w:p>
        </w:tc>
        <w:tc>
          <w:tcPr>
            <w:tcW w:w="720" w:type="dxa"/>
            <w:vAlign w:val="bottom"/>
          </w:tcPr>
          <w:p>
            <w:pPr>
              <w:spacing w:after="0"/>
              <w:rPr>
                <w:sz w:val="5"/>
                <w:szCs w:val="5"/>
                <w:color w:val="auto"/>
              </w:rPr>
            </w:pPr>
          </w:p>
        </w:tc>
        <w:tc>
          <w:tcPr>
            <w:tcW w:w="700" w:type="dxa"/>
            <w:vAlign w:val="bottom"/>
          </w:tcPr>
          <w:p>
            <w:pPr>
              <w:spacing w:after="0"/>
              <w:rPr>
                <w:sz w:val="5"/>
                <w:szCs w:val="5"/>
                <w:color w:val="auto"/>
              </w:rPr>
            </w:pPr>
          </w:p>
        </w:tc>
        <w:tc>
          <w:tcPr>
            <w:tcW w:w="720" w:type="dxa"/>
            <w:vAlign w:val="bottom"/>
          </w:tcPr>
          <w:p>
            <w:pPr>
              <w:spacing w:after="0"/>
              <w:rPr>
                <w:sz w:val="5"/>
                <w:szCs w:val="5"/>
                <w:color w:val="auto"/>
              </w:rPr>
            </w:pPr>
          </w:p>
        </w:tc>
        <w:tc>
          <w:tcPr>
            <w:tcW w:w="700" w:type="dxa"/>
            <w:vAlign w:val="bottom"/>
          </w:tcPr>
          <w:p>
            <w:pPr>
              <w:spacing w:after="0"/>
              <w:rPr>
                <w:sz w:val="5"/>
                <w:szCs w:val="5"/>
                <w:color w:val="auto"/>
              </w:rPr>
            </w:pPr>
          </w:p>
        </w:tc>
        <w:tc>
          <w:tcPr>
            <w:tcW w:w="420" w:type="dxa"/>
            <w:vAlign w:val="bottom"/>
          </w:tcPr>
          <w:p>
            <w:pPr>
              <w:spacing w:after="0"/>
              <w:rPr>
                <w:sz w:val="5"/>
                <w:szCs w:val="5"/>
                <w:color w:val="auto"/>
              </w:rPr>
            </w:pPr>
          </w:p>
        </w:tc>
        <w:tc>
          <w:tcPr>
            <w:tcW w:w="580" w:type="dxa"/>
            <w:vAlign w:val="bottom"/>
          </w:tcPr>
          <w:p>
            <w:pPr>
              <w:spacing w:after="0"/>
              <w:rPr>
                <w:sz w:val="5"/>
                <w:szCs w:val="5"/>
                <w:color w:val="auto"/>
              </w:rPr>
            </w:pPr>
          </w:p>
        </w:tc>
        <w:tc>
          <w:tcPr>
            <w:tcW w:w="600" w:type="dxa"/>
            <w:vAlign w:val="bottom"/>
          </w:tcPr>
          <w:p>
            <w:pPr>
              <w:spacing w:after="0"/>
              <w:rPr>
                <w:sz w:val="5"/>
                <w:szCs w:val="5"/>
                <w:color w:val="auto"/>
              </w:rPr>
            </w:pPr>
          </w:p>
        </w:tc>
        <w:tc>
          <w:tcPr>
            <w:tcW w:w="600" w:type="dxa"/>
            <w:vAlign w:val="bottom"/>
          </w:tcPr>
          <w:p>
            <w:pPr>
              <w:spacing w:after="0"/>
              <w:rPr>
                <w:sz w:val="5"/>
                <w:szCs w:val="5"/>
                <w:color w:val="auto"/>
              </w:rPr>
            </w:pPr>
          </w:p>
        </w:tc>
        <w:tc>
          <w:tcPr>
            <w:tcW w:w="660" w:type="dxa"/>
            <w:vAlign w:val="bottom"/>
          </w:tcPr>
          <w:p>
            <w:pPr>
              <w:spacing w:after="0"/>
              <w:rPr>
                <w:sz w:val="5"/>
                <w:szCs w:val="5"/>
                <w:color w:val="auto"/>
              </w:rPr>
            </w:pPr>
          </w:p>
        </w:tc>
        <w:tc>
          <w:tcPr>
            <w:tcW w:w="4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23"/>
        </w:trPr>
        <w:tc>
          <w:tcPr>
            <w:tcW w:w="18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LIABILITIES AND STOCKHOLDER'S</w:t>
            </w:r>
          </w:p>
        </w:tc>
        <w:tc>
          <w:tcPr>
            <w:tcW w:w="660" w:type="dxa"/>
            <w:vAlign w:val="bottom"/>
            <w:vMerge w:val="restart"/>
            <w:shd w:val="clear" w:color="auto" w:fill="CCEEFF"/>
          </w:tcPr>
          <w:p>
            <w:pPr>
              <w:jc w:val="right"/>
              <w:ind w:right="11"/>
              <w:spacing w:after="0"/>
              <w:rPr>
                <w:sz w:val="20"/>
                <w:szCs w:val="20"/>
                <w:color w:val="auto"/>
              </w:rPr>
            </w:pPr>
            <w:r>
              <w:rPr>
                <w:rFonts w:ascii="Times New Roman" w:cs="Times New Roman" w:eastAsia="Times New Roman" w:hAnsi="Times New Roman"/>
                <w:sz w:val="10"/>
                <w:szCs w:val="10"/>
                <w:color w:val="auto"/>
              </w:rPr>
              <w:t>886,145.08</w:t>
            </w:r>
          </w:p>
        </w:tc>
        <w:tc>
          <w:tcPr>
            <w:tcW w:w="46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11.01</w:t>
            </w:r>
          </w:p>
        </w:tc>
        <w:tc>
          <w:tcPr>
            <w:tcW w:w="70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8,051,480.07</w:t>
            </w:r>
          </w:p>
        </w:tc>
        <w:tc>
          <w:tcPr>
            <w:tcW w:w="72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7,911,569.81</w:t>
            </w:r>
          </w:p>
        </w:tc>
        <w:tc>
          <w:tcPr>
            <w:tcW w:w="72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7,869,678.62</w:t>
            </w:r>
          </w:p>
        </w:tc>
        <w:tc>
          <w:tcPr>
            <w:tcW w:w="72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8,471,545.07</w:t>
            </w:r>
          </w:p>
        </w:tc>
        <w:tc>
          <w:tcPr>
            <w:tcW w:w="70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8,820,747.43</w:t>
            </w:r>
          </w:p>
        </w:tc>
        <w:tc>
          <w:tcPr>
            <w:tcW w:w="720" w:type="dxa"/>
            <w:vAlign w:val="bottom"/>
            <w:vMerge w:val="restart"/>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8,520,518.18</w:t>
            </w:r>
          </w:p>
        </w:tc>
        <w:tc>
          <w:tcPr>
            <w:tcW w:w="700" w:type="dxa"/>
            <w:vAlign w:val="bottom"/>
            <w:vMerge w:val="restart"/>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8,937,625.16</w:t>
            </w:r>
          </w:p>
        </w:tc>
        <w:tc>
          <w:tcPr>
            <w:tcW w:w="420" w:type="dxa"/>
            <w:vAlign w:val="bottom"/>
            <w:vMerge w:val="restart"/>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580" w:type="dxa"/>
            <w:vAlign w:val="bottom"/>
            <w:vMerge w:val="restart"/>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vMerge w:val="restart"/>
            <w:shd w:val="clear" w:color="auto" w:fill="CCEEFF"/>
          </w:tcPr>
          <w:p>
            <w:pPr>
              <w:jc w:val="right"/>
              <w:ind w:right="11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vMerge w:val="restart"/>
            <w:shd w:val="clear" w:color="auto" w:fill="CCEEFF"/>
          </w:tcPr>
          <w:p>
            <w:pPr>
              <w:jc w:val="right"/>
              <w:ind w:right="191"/>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vMerge w:val="restart"/>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74"/>
        </w:trPr>
        <w:tc>
          <w:tcPr>
            <w:tcW w:w="184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EQUITY</w:t>
            </w:r>
          </w:p>
        </w:tc>
        <w:tc>
          <w:tcPr>
            <w:tcW w:w="660" w:type="dxa"/>
            <w:vAlign w:val="bottom"/>
            <w:vMerge w:val="continue"/>
            <w:shd w:val="clear" w:color="auto" w:fill="CCEEFF"/>
          </w:tcPr>
          <w:p>
            <w:pPr>
              <w:spacing w:after="0"/>
              <w:rPr>
                <w:sz w:val="6"/>
                <w:szCs w:val="6"/>
                <w:color w:val="auto"/>
              </w:rPr>
            </w:pPr>
          </w:p>
        </w:tc>
        <w:tc>
          <w:tcPr>
            <w:tcW w:w="460" w:type="dxa"/>
            <w:vAlign w:val="bottom"/>
            <w:vMerge w:val="continue"/>
            <w:shd w:val="clear" w:color="auto" w:fill="CCEEFF"/>
          </w:tcPr>
          <w:p>
            <w:pPr>
              <w:spacing w:after="0"/>
              <w:rPr>
                <w:sz w:val="6"/>
                <w:szCs w:val="6"/>
                <w:color w:val="auto"/>
              </w:rPr>
            </w:pPr>
          </w:p>
        </w:tc>
        <w:tc>
          <w:tcPr>
            <w:tcW w:w="700" w:type="dxa"/>
            <w:vAlign w:val="bottom"/>
            <w:vMerge w:val="continue"/>
            <w:shd w:val="clear" w:color="auto" w:fill="CCEEFF"/>
          </w:tcPr>
          <w:p>
            <w:pPr>
              <w:spacing w:after="0"/>
              <w:rPr>
                <w:sz w:val="6"/>
                <w:szCs w:val="6"/>
                <w:color w:val="auto"/>
              </w:rPr>
            </w:pPr>
          </w:p>
        </w:tc>
        <w:tc>
          <w:tcPr>
            <w:tcW w:w="720" w:type="dxa"/>
            <w:vAlign w:val="bottom"/>
            <w:vMerge w:val="continue"/>
            <w:shd w:val="clear" w:color="auto" w:fill="CCEEFF"/>
          </w:tcPr>
          <w:p>
            <w:pPr>
              <w:spacing w:after="0"/>
              <w:rPr>
                <w:sz w:val="6"/>
                <w:szCs w:val="6"/>
                <w:color w:val="auto"/>
              </w:rPr>
            </w:pPr>
          </w:p>
        </w:tc>
        <w:tc>
          <w:tcPr>
            <w:tcW w:w="720" w:type="dxa"/>
            <w:vAlign w:val="bottom"/>
            <w:vMerge w:val="continue"/>
            <w:shd w:val="clear" w:color="auto" w:fill="CCEEFF"/>
          </w:tcPr>
          <w:p>
            <w:pPr>
              <w:spacing w:after="0"/>
              <w:rPr>
                <w:sz w:val="6"/>
                <w:szCs w:val="6"/>
                <w:color w:val="auto"/>
              </w:rPr>
            </w:pPr>
          </w:p>
        </w:tc>
        <w:tc>
          <w:tcPr>
            <w:tcW w:w="720" w:type="dxa"/>
            <w:vAlign w:val="bottom"/>
            <w:vMerge w:val="continue"/>
            <w:shd w:val="clear" w:color="auto" w:fill="CCEEFF"/>
          </w:tcPr>
          <w:p>
            <w:pPr>
              <w:spacing w:after="0"/>
              <w:rPr>
                <w:sz w:val="6"/>
                <w:szCs w:val="6"/>
                <w:color w:val="auto"/>
              </w:rPr>
            </w:pPr>
          </w:p>
        </w:tc>
        <w:tc>
          <w:tcPr>
            <w:tcW w:w="700" w:type="dxa"/>
            <w:vAlign w:val="bottom"/>
            <w:vMerge w:val="continue"/>
            <w:shd w:val="clear" w:color="auto" w:fill="CCEEFF"/>
          </w:tcPr>
          <w:p>
            <w:pPr>
              <w:spacing w:after="0"/>
              <w:rPr>
                <w:sz w:val="6"/>
                <w:szCs w:val="6"/>
                <w:color w:val="auto"/>
              </w:rPr>
            </w:pPr>
          </w:p>
        </w:tc>
        <w:tc>
          <w:tcPr>
            <w:tcW w:w="720" w:type="dxa"/>
            <w:vAlign w:val="bottom"/>
            <w:vMerge w:val="continue"/>
            <w:shd w:val="clear" w:color="auto" w:fill="CCEEFF"/>
          </w:tcPr>
          <w:p>
            <w:pPr>
              <w:spacing w:after="0"/>
              <w:rPr>
                <w:sz w:val="6"/>
                <w:szCs w:val="6"/>
                <w:color w:val="auto"/>
              </w:rPr>
            </w:pPr>
          </w:p>
        </w:tc>
        <w:tc>
          <w:tcPr>
            <w:tcW w:w="700" w:type="dxa"/>
            <w:vAlign w:val="bottom"/>
            <w:vMerge w:val="continue"/>
            <w:shd w:val="clear" w:color="auto" w:fill="CCEEFF"/>
          </w:tcPr>
          <w:p>
            <w:pPr>
              <w:spacing w:after="0"/>
              <w:rPr>
                <w:sz w:val="6"/>
                <w:szCs w:val="6"/>
                <w:color w:val="auto"/>
              </w:rPr>
            </w:pPr>
          </w:p>
        </w:tc>
        <w:tc>
          <w:tcPr>
            <w:tcW w:w="420" w:type="dxa"/>
            <w:vAlign w:val="bottom"/>
            <w:vMerge w:val="continue"/>
            <w:shd w:val="clear" w:color="auto" w:fill="CCEEFF"/>
          </w:tcPr>
          <w:p>
            <w:pPr>
              <w:spacing w:after="0"/>
              <w:rPr>
                <w:sz w:val="6"/>
                <w:szCs w:val="6"/>
                <w:color w:val="auto"/>
              </w:rPr>
            </w:pPr>
          </w:p>
        </w:tc>
        <w:tc>
          <w:tcPr>
            <w:tcW w:w="580" w:type="dxa"/>
            <w:vAlign w:val="bottom"/>
            <w:vMerge w:val="continue"/>
            <w:shd w:val="clear" w:color="auto" w:fill="CCEEFF"/>
          </w:tcPr>
          <w:p>
            <w:pPr>
              <w:spacing w:after="0"/>
              <w:rPr>
                <w:sz w:val="6"/>
                <w:szCs w:val="6"/>
                <w:color w:val="auto"/>
              </w:rPr>
            </w:pPr>
          </w:p>
        </w:tc>
        <w:tc>
          <w:tcPr>
            <w:tcW w:w="600" w:type="dxa"/>
            <w:vAlign w:val="bottom"/>
            <w:vMerge w:val="continue"/>
            <w:shd w:val="clear" w:color="auto" w:fill="CCEEFF"/>
          </w:tcPr>
          <w:p>
            <w:pPr>
              <w:spacing w:after="0"/>
              <w:rPr>
                <w:sz w:val="6"/>
                <w:szCs w:val="6"/>
                <w:color w:val="auto"/>
              </w:rPr>
            </w:pPr>
          </w:p>
        </w:tc>
        <w:tc>
          <w:tcPr>
            <w:tcW w:w="600" w:type="dxa"/>
            <w:vAlign w:val="bottom"/>
            <w:vMerge w:val="continue"/>
            <w:shd w:val="clear" w:color="auto" w:fill="CCEEFF"/>
          </w:tcPr>
          <w:p>
            <w:pPr>
              <w:spacing w:after="0"/>
              <w:rPr>
                <w:sz w:val="6"/>
                <w:szCs w:val="6"/>
                <w:color w:val="auto"/>
              </w:rPr>
            </w:pPr>
          </w:p>
        </w:tc>
        <w:tc>
          <w:tcPr>
            <w:tcW w:w="660" w:type="dxa"/>
            <w:vAlign w:val="bottom"/>
            <w:vMerge w:val="continue"/>
            <w:shd w:val="clear" w:color="auto" w:fill="CCEEFF"/>
          </w:tcPr>
          <w:p>
            <w:pPr>
              <w:spacing w:after="0"/>
              <w:rPr>
                <w:sz w:val="6"/>
                <w:szCs w:val="6"/>
                <w:color w:val="auto"/>
              </w:rPr>
            </w:pPr>
          </w:p>
        </w:tc>
        <w:tc>
          <w:tcPr>
            <w:tcW w:w="420" w:type="dxa"/>
            <w:vAlign w:val="bottom"/>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64"/>
        </w:trPr>
        <w:tc>
          <w:tcPr>
            <w:tcW w:w="1840" w:type="dxa"/>
            <w:vAlign w:val="bottom"/>
            <w:vMerge w:val="continue"/>
            <w:shd w:val="clear" w:color="auto" w:fill="CCEEFF"/>
          </w:tcPr>
          <w:p>
            <w:pPr>
              <w:spacing w:after="0"/>
              <w:rPr>
                <w:sz w:val="5"/>
                <w:szCs w:val="5"/>
                <w:color w:val="auto"/>
              </w:rPr>
            </w:pPr>
          </w:p>
        </w:tc>
        <w:tc>
          <w:tcPr>
            <w:tcW w:w="660" w:type="dxa"/>
            <w:vAlign w:val="bottom"/>
            <w:shd w:val="clear" w:color="auto" w:fill="CCEEFF"/>
          </w:tcPr>
          <w:p>
            <w:pPr>
              <w:spacing w:after="0"/>
              <w:rPr>
                <w:sz w:val="5"/>
                <w:szCs w:val="5"/>
                <w:color w:val="auto"/>
              </w:rPr>
            </w:pPr>
          </w:p>
        </w:tc>
        <w:tc>
          <w:tcPr>
            <w:tcW w:w="460" w:type="dxa"/>
            <w:vAlign w:val="bottom"/>
            <w:shd w:val="clear" w:color="auto" w:fill="CCEEFF"/>
          </w:tcPr>
          <w:p>
            <w:pPr>
              <w:spacing w:after="0"/>
              <w:rPr>
                <w:sz w:val="5"/>
                <w:szCs w:val="5"/>
                <w:color w:val="auto"/>
              </w:rPr>
            </w:pPr>
          </w:p>
        </w:tc>
        <w:tc>
          <w:tcPr>
            <w:tcW w:w="700" w:type="dxa"/>
            <w:vAlign w:val="bottom"/>
            <w:shd w:val="clear" w:color="auto" w:fill="CCEEFF"/>
          </w:tcPr>
          <w:p>
            <w:pPr>
              <w:spacing w:after="0"/>
              <w:rPr>
                <w:sz w:val="5"/>
                <w:szCs w:val="5"/>
                <w:color w:val="auto"/>
              </w:rPr>
            </w:pPr>
          </w:p>
        </w:tc>
        <w:tc>
          <w:tcPr>
            <w:tcW w:w="720" w:type="dxa"/>
            <w:vAlign w:val="bottom"/>
            <w:shd w:val="clear" w:color="auto" w:fill="CCEEFF"/>
          </w:tcPr>
          <w:p>
            <w:pPr>
              <w:spacing w:after="0"/>
              <w:rPr>
                <w:sz w:val="5"/>
                <w:szCs w:val="5"/>
                <w:color w:val="auto"/>
              </w:rPr>
            </w:pPr>
          </w:p>
        </w:tc>
        <w:tc>
          <w:tcPr>
            <w:tcW w:w="720" w:type="dxa"/>
            <w:vAlign w:val="bottom"/>
            <w:shd w:val="clear" w:color="auto" w:fill="CCEEFF"/>
          </w:tcPr>
          <w:p>
            <w:pPr>
              <w:spacing w:after="0"/>
              <w:rPr>
                <w:sz w:val="5"/>
                <w:szCs w:val="5"/>
                <w:color w:val="auto"/>
              </w:rPr>
            </w:pPr>
          </w:p>
        </w:tc>
        <w:tc>
          <w:tcPr>
            <w:tcW w:w="720" w:type="dxa"/>
            <w:vAlign w:val="bottom"/>
            <w:shd w:val="clear" w:color="auto" w:fill="CCEEFF"/>
          </w:tcPr>
          <w:p>
            <w:pPr>
              <w:spacing w:after="0"/>
              <w:rPr>
                <w:sz w:val="5"/>
                <w:szCs w:val="5"/>
                <w:color w:val="auto"/>
              </w:rPr>
            </w:pPr>
          </w:p>
        </w:tc>
        <w:tc>
          <w:tcPr>
            <w:tcW w:w="700" w:type="dxa"/>
            <w:vAlign w:val="bottom"/>
            <w:shd w:val="clear" w:color="auto" w:fill="CCEEFF"/>
          </w:tcPr>
          <w:p>
            <w:pPr>
              <w:spacing w:after="0"/>
              <w:rPr>
                <w:sz w:val="5"/>
                <w:szCs w:val="5"/>
                <w:color w:val="auto"/>
              </w:rPr>
            </w:pPr>
          </w:p>
        </w:tc>
        <w:tc>
          <w:tcPr>
            <w:tcW w:w="720" w:type="dxa"/>
            <w:vAlign w:val="bottom"/>
            <w:shd w:val="clear" w:color="auto" w:fill="CCEEFF"/>
          </w:tcPr>
          <w:p>
            <w:pPr>
              <w:spacing w:after="0"/>
              <w:rPr>
                <w:sz w:val="5"/>
                <w:szCs w:val="5"/>
                <w:color w:val="auto"/>
              </w:rPr>
            </w:pPr>
          </w:p>
        </w:tc>
        <w:tc>
          <w:tcPr>
            <w:tcW w:w="700" w:type="dxa"/>
            <w:vAlign w:val="bottom"/>
            <w:shd w:val="clear" w:color="auto" w:fill="CCEEFF"/>
          </w:tcPr>
          <w:p>
            <w:pPr>
              <w:spacing w:after="0"/>
              <w:rPr>
                <w:sz w:val="5"/>
                <w:szCs w:val="5"/>
                <w:color w:val="auto"/>
              </w:rPr>
            </w:pPr>
          </w:p>
        </w:tc>
        <w:tc>
          <w:tcPr>
            <w:tcW w:w="420" w:type="dxa"/>
            <w:vAlign w:val="bottom"/>
            <w:shd w:val="clear" w:color="auto" w:fill="CCEEFF"/>
          </w:tcPr>
          <w:p>
            <w:pPr>
              <w:spacing w:after="0"/>
              <w:rPr>
                <w:sz w:val="5"/>
                <w:szCs w:val="5"/>
                <w:color w:val="auto"/>
              </w:rPr>
            </w:pPr>
          </w:p>
        </w:tc>
        <w:tc>
          <w:tcPr>
            <w:tcW w:w="580" w:type="dxa"/>
            <w:vAlign w:val="bottom"/>
            <w:shd w:val="clear" w:color="auto" w:fill="CCEEFF"/>
          </w:tcPr>
          <w:p>
            <w:pPr>
              <w:spacing w:after="0"/>
              <w:rPr>
                <w:sz w:val="5"/>
                <w:szCs w:val="5"/>
                <w:color w:val="auto"/>
              </w:rPr>
            </w:pPr>
          </w:p>
        </w:tc>
        <w:tc>
          <w:tcPr>
            <w:tcW w:w="600" w:type="dxa"/>
            <w:vAlign w:val="bottom"/>
            <w:shd w:val="clear" w:color="auto" w:fill="CCEEFF"/>
          </w:tcPr>
          <w:p>
            <w:pPr>
              <w:spacing w:after="0"/>
              <w:rPr>
                <w:sz w:val="5"/>
                <w:szCs w:val="5"/>
                <w:color w:val="auto"/>
              </w:rPr>
            </w:pPr>
          </w:p>
        </w:tc>
        <w:tc>
          <w:tcPr>
            <w:tcW w:w="600" w:type="dxa"/>
            <w:vAlign w:val="bottom"/>
            <w:shd w:val="clear" w:color="auto" w:fill="CCEEFF"/>
          </w:tcPr>
          <w:p>
            <w:pPr>
              <w:spacing w:after="0"/>
              <w:rPr>
                <w:sz w:val="5"/>
                <w:szCs w:val="5"/>
                <w:color w:val="auto"/>
              </w:rPr>
            </w:pPr>
          </w:p>
        </w:tc>
        <w:tc>
          <w:tcPr>
            <w:tcW w:w="660" w:type="dxa"/>
            <w:vAlign w:val="bottom"/>
            <w:shd w:val="clear" w:color="auto" w:fill="CCEEFF"/>
          </w:tcPr>
          <w:p>
            <w:pPr>
              <w:spacing w:after="0"/>
              <w:rPr>
                <w:sz w:val="5"/>
                <w:szCs w:val="5"/>
                <w:color w:val="auto"/>
              </w:rPr>
            </w:pPr>
          </w:p>
        </w:tc>
        <w:tc>
          <w:tcPr>
            <w:tcW w:w="420" w:type="dxa"/>
            <w:vAlign w:val="bottom"/>
            <w:shd w:val="clear" w:color="auto" w:fill="CCEEFF"/>
          </w:tcPr>
          <w:p>
            <w:pPr>
              <w:spacing w:after="0"/>
              <w:rPr>
                <w:sz w:val="5"/>
                <w:szCs w:val="5"/>
                <w:color w:val="auto"/>
              </w:rPr>
            </w:pPr>
          </w:p>
        </w:tc>
        <w:tc>
          <w:tcPr>
            <w:tcW w:w="0" w:type="dxa"/>
            <w:vAlign w:val="bottom"/>
          </w:tcPr>
          <w:p>
            <w:pPr>
              <w:spacing w:after="0"/>
              <w:rPr>
                <w:sz w:val="1"/>
                <w:szCs w:val="1"/>
                <w:color w:val="auto"/>
              </w:rPr>
            </w:pPr>
          </w:p>
        </w:tc>
      </w:tr>
    </w:tbl>
    <w:p>
      <w:pPr>
        <w:spacing w:after="0" w:line="6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color w:val="auto"/>
        </w:rPr>
        <w:t>*Monetary unit at par and equivalent with US$ dollars.</w:t>
      </w:r>
    </w:p>
    <w:p>
      <w:pPr>
        <w:spacing w:after="0" w:line="233"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This is a translation from Spanish original version, taken from the monthly publication of the Superintendency of Banks of Panama (website:</w:t>
      </w:r>
    </w:p>
    <w:p>
      <w:pPr>
        <w:spacing w:after="0" w:line="3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622363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223635" cy="8255"/>
                    </a:xfrm>
                    <a:prstGeom prst="rect">
                      <a:avLst/>
                    </a:prstGeom>
                    <a:noFill/>
                  </pic:spPr>
                </pic:pic>
              </a:graphicData>
            </a:graphic>
          </wp:anchor>
        </w:drawing>
      </w:r>
    </w:p>
    <w:p>
      <w:pPr>
        <w:sectPr>
          <w:pgSz w:w="11900" w:h="16838" w:orient="portrait"/>
          <w:cols w:equalWidth="0" w:num="1">
            <w:col w:w="11220"/>
          </w:cols>
          <w:pgMar w:left="320" w:top="1067" w:right="359" w:bottom="1440" w:gutter="0" w:footer="0" w:header="0"/>
        </w:sectPr>
      </w:pPr>
    </w:p>
    <w:bookmarkStart w:id="4" w:name="page5"/>
    <w:bookmarkEnd w:id="4"/>
    <w:p>
      <w:pPr>
        <w:jc w:val="both"/>
        <w:ind w:left="120" w:right="200"/>
        <w:spacing w:after="0" w:line="272" w:lineRule="auto"/>
        <w:rPr>
          <w:sz w:val="20"/>
          <w:szCs w:val="20"/>
          <w:color w:val="auto"/>
        </w:rPr>
      </w:pPr>
      <w:r>
        <w:rPr>
          <w:rFonts w:ascii="Times New Roman" w:cs="Times New Roman" w:eastAsia="Times New Roman" w:hAnsi="Times New Roman"/>
          <w:sz w:val="15"/>
          <w:szCs w:val="15"/>
          <w:b w:val="1"/>
          <w:bCs w:val="1"/>
          <w:color w:val="auto"/>
        </w:rPr>
        <w:t>NOTE: THE FINANCIAL INFORMATION INCLUDED IN THIS FORM 6-K HAS BEEN PREPARED ON A NON-CONSOLIDATED BASIS AND EXCLUDES FINANCIAL INFORMATION FOR BLADEX HOLDINGS INC., BLADEX REPRESENTACAO LTDA., BLX SOLUCIONES</w:t>
      </w:r>
    </w:p>
    <w:p>
      <w:pPr>
        <w:jc w:val="both"/>
        <w:ind w:left="120" w:right="200"/>
        <w:spacing w:after="0" w:line="268" w:lineRule="auto"/>
        <w:rPr>
          <w:sz w:val="20"/>
          <w:szCs w:val="20"/>
          <w:color w:val="auto"/>
        </w:rPr>
      </w:pPr>
      <w:r>
        <w:rPr>
          <w:rFonts w:ascii="Times New Roman" w:cs="Times New Roman" w:eastAsia="Times New Roman" w:hAnsi="Times New Roman"/>
          <w:sz w:val="15"/>
          <w:szCs w:val="15"/>
          <w:b w:val="1"/>
          <w:bCs w:val="1"/>
          <w:color w:val="auto"/>
        </w:rPr>
        <w:t>S.A. DE C.V., AND BLADEX DEVELOPMENT CORP., AS REQUIRED BY THE LAWS AND REGULATIONS APPLICABLE TO BANCO LATINOAMERICANO DE COMERCIO EXTERIOR, S.A. ("BLADEX") IN PANAMA, COUNTRY OF INCORPORATION WHERE BLADEX IS REGULATED AS A BANK WITH A GENERAL LICENSE.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147955</wp:posOffset>
            </wp:positionV>
            <wp:extent cx="539750" cy="5486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3975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INCOME STATEMENT</w:t>
      </w:r>
    </w:p>
    <w:p>
      <w:pPr>
        <w:jc w:val="center"/>
        <w:ind w:right="-19"/>
        <w:spacing w:after="0" w:line="225" w:lineRule="auto"/>
        <w:rPr>
          <w:sz w:val="20"/>
          <w:szCs w:val="20"/>
          <w:color w:val="auto"/>
        </w:rPr>
      </w:pPr>
      <w:r>
        <w:rPr>
          <w:rFonts w:ascii="Times New Roman" w:cs="Times New Roman" w:eastAsia="Times New Roman" w:hAnsi="Times New Roman"/>
          <w:sz w:val="15"/>
          <w:szCs w:val="15"/>
          <w:b w:val="1"/>
          <w:bCs w:val="1"/>
          <w:color w:val="auto"/>
        </w:rPr>
        <w:t>BANCO LATINOAMERICANO DE COMERCIO EXTERIOR, S.A.</w:t>
      </w: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DECEMBER 2021 - JUNE 2022</w:t>
      </w:r>
    </w:p>
    <w:p>
      <w:pPr>
        <w:spacing w:after="0" w:line="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(In Thousand Balboas) *</w:t>
      </w:r>
    </w:p>
    <w:p>
      <w:pPr>
        <w:spacing w:after="0" w:line="230" w:lineRule="exact"/>
        <w:rPr>
          <w:sz w:val="20"/>
          <w:szCs w:val="20"/>
          <w:color w:val="auto"/>
        </w:rPr>
      </w:pPr>
    </w:p>
    <w:p>
      <w:pPr>
        <w:ind w:left="10200"/>
        <w:spacing w:after="0"/>
        <w:rPr>
          <w:sz w:val="20"/>
          <w:szCs w:val="20"/>
          <w:color w:val="auto"/>
        </w:rPr>
      </w:pPr>
      <w:r>
        <w:rPr>
          <w:rFonts w:ascii="Times New Roman" w:cs="Times New Roman" w:eastAsia="Times New Roman" w:hAnsi="Times New Roman"/>
          <w:sz w:val="15"/>
          <w:szCs w:val="15"/>
          <w:color w:val="auto"/>
        </w:rPr>
        <w:t>July 25, 2022</w:t>
      </w:r>
    </w:p>
    <w:p>
      <w:pPr>
        <w:spacing w:after="0" w:line="61"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2160" w:type="dxa"/>
            <w:vAlign w:val="bottom"/>
            <w:shd w:val="clear" w:color="auto" w:fill="CCEEFF"/>
          </w:tcPr>
          <w:p>
            <w:pPr>
              <w:spacing w:after="0"/>
              <w:rPr>
                <w:sz w:val="14"/>
                <w:szCs w:val="14"/>
                <w:color w:val="auto"/>
              </w:rPr>
            </w:pPr>
          </w:p>
        </w:tc>
        <w:tc>
          <w:tcPr>
            <w:tcW w:w="6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2021</w:t>
            </w:r>
          </w:p>
        </w:tc>
        <w:tc>
          <w:tcPr>
            <w:tcW w:w="82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2022</w:t>
            </w:r>
          </w:p>
        </w:tc>
        <w:tc>
          <w:tcPr>
            <w:tcW w:w="640" w:type="dxa"/>
            <w:vAlign w:val="bottom"/>
            <w:tcBorders>
              <w:bottom w:val="single" w:sz="8" w:color="auto"/>
            </w:tcBorders>
            <w:shd w:val="clear" w:color="auto" w:fill="CCEEFF"/>
          </w:tcPr>
          <w:p>
            <w:pPr>
              <w:spacing w:after="0"/>
              <w:rPr>
                <w:sz w:val="14"/>
                <w:szCs w:val="14"/>
                <w:color w:val="auto"/>
              </w:rPr>
            </w:pPr>
          </w:p>
        </w:tc>
        <w:tc>
          <w:tcPr>
            <w:tcW w:w="70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spacing w:after="0"/>
              <w:rPr>
                <w:sz w:val="14"/>
                <w:szCs w:val="14"/>
                <w:color w:val="auto"/>
              </w:rPr>
            </w:pPr>
          </w:p>
        </w:tc>
        <w:tc>
          <w:tcPr>
            <w:tcW w:w="680" w:type="dxa"/>
            <w:vAlign w:val="bottom"/>
            <w:tcBorders>
              <w:bottom w:val="single" w:sz="8" w:color="auto"/>
            </w:tcBorders>
            <w:shd w:val="clear" w:color="auto" w:fill="CCEEFF"/>
          </w:tcPr>
          <w:p>
            <w:pPr>
              <w:spacing w:after="0"/>
              <w:rPr>
                <w:sz w:val="14"/>
                <w:szCs w:val="14"/>
                <w:color w:val="auto"/>
              </w:rPr>
            </w:pPr>
          </w:p>
        </w:tc>
        <w:tc>
          <w:tcPr>
            <w:tcW w:w="6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r>
      <w:tr>
        <w:trPr>
          <w:trHeight w:val="149"/>
        </w:trPr>
        <w:tc>
          <w:tcPr>
            <w:tcW w:w="2160" w:type="dxa"/>
            <w:vAlign w:val="bottom"/>
            <w:tcBorders>
              <w:bottom w:val="single" w:sz="8" w:color="CCEEFF"/>
            </w:tcBorders>
          </w:tcPr>
          <w:p>
            <w:pPr>
              <w:spacing w:after="0"/>
              <w:rPr>
                <w:sz w:val="12"/>
                <w:szCs w:val="12"/>
                <w:color w:val="auto"/>
              </w:rPr>
            </w:pPr>
          </w:p>
        </w:tc>
        <w:tc>
          <w:tcPr>
            <w:tcW w:w="620" w:type="dxa"/>
            <w:vAlign w:val="bottom"/>
            <w:tcBorders>
              <w:bottom w:val="single" w:sz="8" w:color="auto"/>
            </w:tcBorders>
          </w:tcPr>
          <w:p>
            <w:pPr>
              <w:jc w:val="right"/>
              <w:ind w:right="30"/>
              <w:spacing w:after="0" w:line="122" w:lineRule="exact"/>
              <w:rPr>
                <w:sz w:val="20"/>
                <w:szCs w:val="20"/>
                <w:color w:val="auto"/>
              </w:rPr>
            </w:pPr>
            <w:r>
              <w:rPr>
                <w:rFonts w:ascii="Times New Roman" w:cs="Times New Roman" w:eastAsia="Times New Roman" w:hAnsi="Times New Roman"/>
                <w:sz w:val="11"/>
                <w:szCs w:val="11"/>
                <w:b w:val="1"/>
                <w:bCs w:val="1"/>
                <w:color w:val="auto"/>
              </w:rPr>
              <w:t>December</w:t>
            </w:r>
          </w:p>
        </w:tc>
        <w:tc>
          <w:tcPr>
            <w:tcW w:w="82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1"/>
                <w:szCs w:val="11"/>
                <w:b w:val="1"/>
                <w:bCs w:val="1"/>
                <w:color w:val="auto"/>
              </w:rPr>
              <w:t>January</w:t>
            </w:r>
          </w:p>
        </w:tc>
        <w:tc>
          <w:tcPr>
            <w:tcW w:w="64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1"/>
                <w:szCs w:val="11"/>
                <w:b w:val="1"/>
                <w:bCs w:val="1"/>
                <w:color w:val="auto"/>
              </w:rPr>
              <w:t>February</w:t>
            </w:r>
          </w:p>
        </w:tc>
        <w:tc>
          <w:tcPr>
            <w:tcW w:w="6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March</w:t>
            </w:r>
          </w:p>
        </w:tc>
        <w:tc>
          <w:tcPr>
            <w:tcW w:w="60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1"/>
                <w:szCs w:val="11"/>
                <w:b w:val="1"/>
                <w:bCs w:val="1"/>
                <w:color w:val="auto"/>
              </w:rPr>
              <w:t>April</w:t>
            </w:r>
          </w:p>
        </w:tc>
        <w:tc>
          <w:tcPr>
            <w:tcW w:w="6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1"/>
                <w:szCs w:val="11"/>
                <w:b w:val="1"/>
                <w:bCs w:val="1"/>
                <w:color w:val="auto"/>
              </w:rPr>
              <w:t>May</w:t>
            </w:r>
          </w:p>
        </w:tc>
        <w:tc>
          <w:tcPr>
            <w:tcW w:w="6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1"/>
                <w:szCs w:val="11"/>
                <w:b w:val="1"/>
                <w:bCs w:val="1"/>
                <w:color w:val="auto"/>
              </w:rPr>
              <w:t>June</w:t>
            </w:r>
          </w:p>
        </w:tc>
        <w:tc>
          <w:tcPr>
            <w:tcW w:w="6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1"/>
                <w:szCs w:val="11"/>
                <w:b w:val="1"/>
                <w:bCs w:val="1"/>
                <w:color w:val="auto"/>
              </w:rPr>
              <w:t>July</w:t>
            </w:r>
          </w:p>
        </w:tc>
        <w:tc>
          <w:tcPr>
            <w:tcW w:w="64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August</w:t>
            </w:r>
          </w:p>
        </w:tc>
        <w:tc>
          <w:tcPr>
            <w:tcW w:w="70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September</w:t>
            </w:r>
          </w:p>
        </w:tc>
        <w:tc>
          <w:tcPr>
            <w:tcW w:w="62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1"/>
                <w:szCs w:val="11"/>
                <w:b w:val="1"/>
                <w:bCs w:val="1"/>
                <w:color w:val="auto"/>
              </w:rPr>
              <w:t>October</w:t>
            </w:r>
          </w:p>
        </w:tc>
        <w:tc>
          <w:tcPr>
            <w:tcW w:w="68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November</w:t>
            </w:r>
          </w:p>
        </w:tc>
        <w:tc>
          <w:tcPr>
            <w:tcW w:w="68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December</w:t>
            </w:r>
          </w:p>
        </w:tc>
        <w:tc>
          <w:tcPr>
            <w:tcW w:w="6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1"/>
                <w:szCs w:val="11"/>
                <w:color w:val="auto"/>
              </w:rPr>
              <w:t>Year to date</w:t>
            </w:r>
          </w:p>
        </w:tc>
      </w:tr>
      <w:tr>
        <w:trPr>
          <w:trHeight w:val="142"/>
        </w:trPr>
        <w:tc>
          <w:tcPr>
            <w:tcW w:w="216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Interest Income</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140,883.25</w:t>
            </w:r>
          </w:p>
        </w:tc>
        <w:tc>
          <w:tcPr>
            <w:tcW w:w="82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14,174.85</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13,196.32</w:t>
            </w:r>
          </w:p>
        </w:tc>
        <w:tc>
          <w:tcPr>
            <w:tcW w:w="62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17,632.98</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19,141.32</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21,720.11</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23,191.39</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109,056.99</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Loans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129,757.85</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12,816.24</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11,832.50</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15,559.59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16,830.81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18,968.91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20,158.35</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96,166.40</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Deposits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1,186.05</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153.25</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148.80</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200.85</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295.78</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581.63</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878.97</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2,259.27</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Investments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9,939.34</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1,205.37</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1,215.03</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1,872.55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2,014.73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2,169.57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2,154.07</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10,631.32</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Financial Leases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Other Income</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2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Interest Expense</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54,833.48</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6,095.11</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5,881.96</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7,496.15</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8,953.77</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10,485.70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12,151.01</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51,063.70</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Interest</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54,093.94</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6,015.09</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5,834.50</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7,430.05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8,874.93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10,411.93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12,062.50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50,628.99</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Commissions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739.54</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80.02</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47.46</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66.10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78.84</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73.77</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88.51</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434.71</w:t>
            </w:r>
          </w:p>
        </w:tc>
      </w:tr>
      <w:tr>
        <w:trPr>
          <w:trHeight w:val="143"/>
        </w:trPr>
        <w:tc>
          <w:tcPr>
            <w:tcW w:w="216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Net Interest Income</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86,049.76</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8,079.74</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7,314.37</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10,136.83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10,187.55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11,234.41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11,040.38</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57,993.29</w:t>
            </w:r>
          </w:p>
        </w:tc>
      </w:tr>
      <w:tr>
        <w:trPr>
          <w:trHeight w:val="154"/>
        </w:trPr>
        <w:tc>
          <w:tcPr>
            <w:tcW w:w="2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Other Income</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244,745.57</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11,115.29</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7,362.42</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43,360.60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52,813.13</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48,029.41</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42,684.61</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205,365.46</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Commissions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19,035.73</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1,259.07</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1,160.39</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1,723.20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1,654.74</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1,450.02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1,405.38</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8,652.81</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Foreign currency operations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Dividends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Other Income</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225,709.85</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9,856.22</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6,202.03</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41,637.40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51,158.39</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46,579.39</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41,279.23</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196,712.65</w:t>
            </w:r>
          </w:p>
        </w:tc>
      </w:tr>
      <w:tr>
        <w:trPr>
          <w:trHeight w:val="143"/>
        </w:trPr>
        <w:tc>
          <w:tcPr>
            <w:tcW w:w="216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Operating Income</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330,795.33</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19,195.04</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14,676.79</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53,497.42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63,000.68</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59,263.82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53,725.00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263,358.75</w:t>
            </w:r>
          </w:p>
        </w:tc>
      </w:tr>
      <w:tr>
        <w:trPr>
          <w:trHeight w:val="154"/>
        </w:trPr>
        <w:tc>
          <w:tcPr>
            <w:tcW w:w="2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Operating Expenses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265,727.94</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12,960.48</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8,344.86</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46,795.67</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55,574.46</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50,690.82</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45,788.49</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220,154.79</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Administrative expenses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25,010.94</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1,627.91</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1,969.77</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4,099.93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2,913.37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2,726.90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3,594.49</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16,932.36</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General expenses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11,634.59</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783.82</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808.87</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995.74</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908.03</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1,077.38</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1,158.67</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5,732.52</w:t>
            </w:r>
          </w:p>
        </w:tc>
      </w:tr>
      <w:tr>
        <w:trPr>
          <w:trHeight w:val="143"/>
        </w:trPr>
        <w:tc>
          <w:tcPr>
            <w:tcW w:w="216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Depreciation</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3,305.19</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214.00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221.24</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214.27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214.22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210.49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209.34</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1,283.56</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Other expenses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225,777.22</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10,334.75</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5,344.99</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41,485.73</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51,538.84</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46,676.06</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40,825.99</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196,206.36</w:t>
            </w:r>
          </w:p>
        </w:tc>
      </w:tr>
      <w:tr>
        <w:trPr>
          <w:trHeight w:val="143"/>
        </w:trPr>
        <w:tc>
          <w:tcPr>
            <w:tcW w:w="216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Net Income before provision for loan losses</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65,067.40</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6,234.56</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6,331.93</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6,701.75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7,426.21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8,573.00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7,936.51</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43,203.96</w:t>
            </w:r>
          </w:p>
        </w:tc>
      </w:tr>
      <w:tr>
        <w:trPr>
          <w:trHeight w:val="154"/>
        </w:trPr>
        <w:tc>
          <w:tcPr>
            <w:tcW w:w="2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Provision for loan losses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1,977.19</w:t>
            </w:r>
          </w:p>
        </w:tc>
        <w:tc>
          <w:tcPr>
            <w:tcW w:w="8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574.39</w:t>
            </w:r>
          </w:p>
        </w:tc>
        <w:tc>
          <w:tcPr>
            <w:tcW w:w="64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4,048.59</w:t>
            </w:r>
          </w:p>
        </w:tc>
        <w:tc>
          <w:tcPr>
            <w:tcW w:w="6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3,487.74</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1,176.14</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1,483.00</w:t>
            </w:r>
          </w:p>
        </w:tc>
        <w:tc>
          <w:tcPr>
            <w:tcW w:w="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-1,825.67</w:t>
            </w:r>
          </w:p>
        </w:tc>
        <w:tc>
          <w:tcPr>
            <w:tcW w:w="6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8,944.18</w:t>
            </w:r>
          </w:p>
        </w:tc>
      </w:tr>
      <w:tr>
        <w:trPr>
          <w:trHeight w:val="138"/>
        </w:trPr>
        <w:tc>
          <w:tcPr>
            <w:tcW w:w="216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Net Income</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63,090.21</w:t>
            </w:r>
          </w:p>
        </w:tc>
        <w:tc>
          <w:tcPr>
            <w:tcW w:w="8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5,660.16</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2,283.34</w:t>
            </w:r>
          </w:p>
        </w:tc>
        <w:tc>
          <w:tcPr>
            <w:tcW w:w="6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3,214.02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6,250.08</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7,089.99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9,762.18</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34,259.77</w:t>
            </w:r>
          </w:p>
        </w:tc>
      </w:tr>
    </w:tbl>
    <w:p>
      <w:pPr>
        <w:spacing w:after="0" w:line="327"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color w:val="auto"/>
        </w:rPr>
        <w:t>*Monetary unit at par and equivalent with US$ dollars.</w:t>
      </w:r>
    </w:p>
    <w:p>
      <w:pPr>
        <w:spacing w:after="0" w:line="233"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This is a translation from Spanish original version, taken from the monthly publication of the Superintendency of Banks of Panama (website:</w:t>
      </w:r>
    </w:p>
    <w:p>
      <w:pPr>
        <w:spacing w:after="0" w:line="3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324485</wp:posOffset>
            </wp:positionV>
            <wp:extent cx="622363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223635" cy="8255"/>
                    </a:xfrm>
                    <a:prstGeom prst="rect">
                      <a:avLst/>
                    </a:prstGeom>
                    <a:noFill/>
                  </pic:spPr>
                </pic:pic>
              </a:graphicData>
            </a:graphic>
          </wp:anchor>
        </w:drawing>
      </w:r>
    </w:p>
    <w:p>
      <w:pPr>
        <w:sectPr>
          <w:pgSz w:w="11900" w:h="16838" w:orient="portrait"/>
          <w:cols w:equalWidth="0" w:num="1">
            <w:col w:w="11220"/>
          </w:cols>
          <w:pgMar w:left="320" w:top="1009" w:right="359" w:bottom="1440" w:gutter="0" w:footer="0" w:header="0"/>
        </w:sectPr>
      </w:pPr>
    </w:p>
    <w:bookmarkStart w:id="5" w:name="page6"/>
    <w:bookmarkEnd w:id="5"/>
    <w:p>
      <w:pPr>
        <w:ind w:left="120" w:right="200"/>
        <w:spacing w:after="0" w:line="272" w:lineRule="auto"/>
        <w:rPr>
          <w:sz w:val="20"/>
          <w:szCs w:val="20"/>
          <w:color w:val="auto"/>
        </w:rPr>
      </w:pPr>
      <w:r>
        <w:rPr>
          <w:rFonts w:ascii="Times New Roman" w:cs="Times New Roman" w:eastAsia="Times New Roman" w:hAnsi="Times New Roman"/>
          <w:sz w:val="15"/>
          <w:szCs w:val="15"/>
          <w:b w:val="1"/>
          <w:bCs w:val="1"/>
          <w:color w:val="auto"/>
        </w:rPr>
        <w:t>NOTA: LA INFORMACION INCLUIDA EN EL PRESENTE REPORTE 6-K FUE PREPARADA EN UNA BASE NO CONSOLIDADA Y EXCLUYE LA INFORMACION FINANCIERA DE BLADEX HOLDINGS INC., BLADEX REPRESENTACAO LTDA., BLX SOLUCIONES</w:t>
      </w:r>
    </w:p>
    <w:p>
      <w:pPr>
        <w:jc w:val="both"/>
        <w:ind w:left="120" w:right="160"/>
        <w:spacing w:after="0" w:line="268" w:lineRule="auto"/>
        <w:rPr>
          <w:sz w:val="20"/>
          <w:szCs w:val="20"/>
          <w:color w:val="auto"/>
        </w:rPr>
      </w:pPr>
      <w:r>
        <w:rPr>
          <w:rFonts w:ascii="Times New Roman" w:cs="Times New Roman" w:eastAsia="Times New Roman" w:hAnsi="Times New Roman"/>
          <w:sz w:val="15"/>
          <w:szCs w:val="15"/>
          <w:b w:val="1"/>
          <w:bCs w:val="1"/>
          <w:color w:val="auto"/>
        </w:rPr>
        <w:t>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302260</wp:posOffset>
            </wp:positionV>
            <wp:extent cx="53975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3975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BALANCE DE SITUACIÓN</w:t>
      </w:r>
    </w:p>
    <w:p>
      <w:pPr>
        <w:jc w:val="center"/>
        <w:ind w:right="-19"/>
        <w:spacing w:after="0" w:line="225" w:lineRule="auto"/>
        <w:rPr>
          <w:sz w:val="20"/>
          <w:szCs w:val="20"/>
          <w:color w:val="auto"/>
        </w:rPr>
      </w:pPr>
      <w:r>
        <w:rPr>
          <w:rFonts w:ascii="Times New Roman" w:cs="Times New Roman" w:eastAsia="Times New Roman" w:hAnsi="Times New Roman"/>
          <w:sz w:val="15"/>
          <w:szCs w:val="15"/>
          <w:b w:val="1"/>
          <w:bCs w:val="1"/>
          <w:color w:val="auto"/>
        </w:rPr>
        <w:t>BANCO LATINOAMERICANO DE COMERCIO EXTERIOR, S.A.</w:t>
      </w: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DICIEMBRE 2021 - JUNIO 2022</w:t>
      </w:r>
    </w:p>
    <w:p>
      <w:pPr>
        <w:spacing w:after="0" w:line="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(En miles de Balboas) *</w:t>
      </w:r>
    </w:p>
    <w:p>
      <w:pPr>
        <w:spacing w:after="0" w:line="230" w:lineRule="exact"/>
        <w:rPr>
          <w:sz w:val="20"/>
          <w:szCs w:val="20"/>
          <w:color w:val="auto"/>
        </w:rPr>
      </w:pPr>
    </w:p>
    <w:p>
      <w:pPr>
        <w:ind w:left="10160"/>
        <w:spacing w:after="0"/>
        <w:rPr>
          <w:sz w:val="20"/>
          <w:szCs w:val="20"/>
          <w:color w:val="auto"/>
        </w:rPr>
      </w:pPr>
      <w:r>
        <w:rPr>
          <w:rFonts w:ascii="Times New Roman" w:cs="Times New Roman" w:eastAsia="Times New Roman" w:hAnsi="Times New Roman"/>
          <w:sz w:val="15"/>
          <w:szCs w:val="15"/>
          <w:color w:val="auto"/>
        </w:rPr>
        <w:t>Julio 25, 2022</w:t>
      </w:r>
    </w:p>
    <w:p>
      <w:pPr>
        <w:spacing w:after="0" w:line="304"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1620" w:type="dxa"/>
            <w:vAlign w:val="bottom"/>
            <w:shd w:val="clear" w:color="auto" w:fill="CCEEFF"/>
          </w:tcPr>
          <w:p>
            <w:pPr>
              <w:spacing w:after="0"/>
              <w:rPr>
                <w:sz w:val="14"/>
                <w:szCs w:val="14"/>
                <w:color w:val="auto"/>
              </w:rPr>
            </w:pPr>
          </w:p>
        </w:tc>
        <w:tc>
          <w:tcPr>
            <w:tcW w:w="78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Variación</w:t>
            </w:r>
          </w:p>
        </w:tc>
        <w:tc>
          <w:tcPr>
            <w:tcW w:w="360" w:type="dxa"/>
            <w:vAlign w:val="bottom"/>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jc w:val="right"/>
              <w:ind w:right="290"/>
              <w:spacing w:after="0"/>
              <w:rPr>
                <w:sz w:val="20"/>
                <w:szCs w:val="20"/>
                <w:color w:val="auto"/>
              </w:rPr>
            </w:pPr>
            <w:r>
              <w:rPr>
                <w:rFonts w:ascii="Times New Roman" w:cs="Times New Roman" w:eastAsia="Times New Roman" w:hAnsi="Times New Roman"/>
                <w:sz w:val="11"/>
                <w:szCs w:val="11"/>
                <w:b w:val="1"/>
                <w:bCs w:val="1"/>
                <w:color w:val="auto"/>
              </w:rPr>
              <w:t>2021</w:t>
            </w:r>
          </w:p>
        </w:tc>
        <w:tc>
          <w:tcPr>
            <w:tcW w:w="720" w:type="dxa"/>
            <w:vAlign w:val="bottom"/>
            <w:tcBorders>
              <w:bottom w:val="single" w:sz="8" w:color="auto"/>
            </w:tcBorders>
            <w:shd w:val="clear" w:color="auto" w:fill="CCEEFF"/>
          </w:tcPr>
          <w:p>
            <w:pPr>
              <w:spacing w:after="0"/>
              <w:rPr>
                <w:sz w:val="14"/>
                <w:szCs w:val="14"/>
                <w:color w:val="auto"/>
              </w:rPr>
            </w:pPr>
          </w:p>
        </w:tc>
        <w:tc>
          <w:tcPr>
            <w:tcW w:w="700" w:type="dxa"/>
            <w:vAlign w:val="bottom"/>
            <w:tcBorders>
              <w:bottom w:val="single" w:sz="8" w:color="auto"/>
            </w:tcBorders>
            <w:shd w:val="clear" w:color="auto" w:fill="CCEEFF"/>
          </w:tcPr>
          <w:p>
            <w:pPr>
              <w:spacing w:after="0"/>
              <w:rPr>
                <w:sz w:val="14"/>
                <w:szCs w:val="14"/>
                <w:color w:val="auto"/>
              </w:rPr>
            </w:pPr>
          </w:p>
        </w:tc>
        <w:tc>
          <w:tcPr>
            <w:tcW w:w="720" w:type="dxa"/>
            <w:vAlign w:val="bottom"/>
            <w:tcBorders>
              <w:bottom w:val="single" w:sz="8" w:color="auto"/>
            </w:tcBorders>
            <w:shd w:val="clear" w:color="auto" w:fill="CCEEFF"/>
          </w:tcPr>
          <w:p>
            <w:pPr>
              <w:spacing w:after="0"/>
              <w:rPr>
                <w:sz w:val="14"/>
                <w:szCs w:val="14"/>
                <w:color w:val="auto"/>
              </w:rPr>
            </w:pPr>
          </w:p>
        </w:tc>
        <w:tc>
          <w:tcPr>
            <w:tcW w:w="720" w:type="dxa"/>
            <w:vAlign w:val="bottom"/>
            <w:tcBorders>
              <w:bottom w:val="single" w:sz="8" w:color="auto"/>
            </w:tcBorders>
            <w:shd w:val="clear" w:color="auto" w:fill="CCEEFF"/>
          </w:tcPr>
          <w:p>
            <w:pPr>
              <w:spacing w:after="0"/>
              <w:rPr>
                <w:sz w:val="14"/>
                <w:szCs w:val="14"/>
                <w:color w:val="auto"/>
              </w:rPr>
            </w:pPr>
          </w:p>
        </w:tc>
        <w:tc>
          <w:tcPr>
            <w:tcW w:w="720" w:type="dxa"/>
            <w:vAlign w:val="bottom"/>
            <w:tcBorders>
              <w:bottom w:val="single" w:sz="8" w:color="auto"/>
            </w:tcBorders>
            <w:shd w:val="clear" w:color="auto" w:fill="CCEEFF"/>
          </w:tcPr>
          <w:p>
            <w:pPr>
              <w:spacing w:after="0"/>
              <w:rPr>
                <w:sz w:val="14"/>
                <w:szCs w:val="14"/>
                <w:color w:val="auto"/>
              </w:rPr>
            </w:pPr>
          </w:p>
        </w:tc>
        <w:tc>
          <w:tcPr>
            <w:tcW w:w="660" w:type="dxa"/>
            <w:vAlign w:val="bottom"/>
            <w:tcBorders>
              <w:bottom w:val="single" w:sz="8" w:color="auto"/>
            </w:tcBorders>
            <w:shd w:val="clear" w:color="auto" w:fill="CCEEFF"/>
          </w:tcPr>
          <w:p>
            <w:pPr>
              <w:jc w:val="right"/>
              <w:ind w:right="290"/>
              <w:spacing w:after="0"/>
              <w:rPr>
                <w:sz w:val="20"/>
                <w:szCs w:val="20"/>
                <w:color w:val="auto"/>
              </w:rPr>
            </w:pPr>
            <w:r>
              <w:rPr>
                <w:rFonts w:ascii="Times New Roman" w:cs="Times New Roman" w:eastAsia="Times New Roman" w:hAnsi="Times New Roman"/>
                <w:sz w:val="11"/>
                <w:szCs w:val="11"/>
                <w:b w:val="1"/>
                <w:bCs w:val="1"/>
                <w:color w:val="auto"/>
              </w:rPr>
              <w:t>2022</w:t>
            </w:r>
          </w:p>
        </w:tc>
        <w:tc>
          <w:tcPr>
            <w:tcW w:w="360" w:type="dxa"/>
            <w:vAlign w:val="bottom"/>
            <w:tcBorders>
              <w:bottom w:val="single" w:sz="8" w:color="auto"/>
            </w:tcBorders>
            <w:shd w:val="clear" w:color="auto" w:fill="CCEEFF"/>
          </w:tcPr>
          <w:p>
            <w:pPr>
              <w:spacing w:after="0"/>
              <w:rPr>
                <w:sz w:val="14"/>
                <w:szCs w:val="14"/>
                <w:color w:val="auto"/>
              </w:rPr>
            </w:pPr>
          </w:p>
        </w:tc>
        <w:tc>
          <w:tcPr>
            <w:tcW w:w="480" w:type="dxa"/>
            <w:vAlign w:val="bottom"/>
            <w:tcBorders>
              <w:bottom w:val="single" w:sz="8" w:color="auto"/>
            </w:tcBorders>
            <w:shd w:val="clear" w:color="auto" w:fill="CCEEFF"/>
          </w:tcPr>
          <w:p>
            <w:pPr>
              <w:spacing w:after="0"/>
              <w:rPr>
                <w:sz w:val="14"/>
                <w:szCs w:val="14"/>
                <w:color w:val="auto"/>
              </w:rPr>
            </w:pPr>
          </w:p>
        </w:tc>
        <w:tc>
          <w:tcPr>
            <w:tcW w:w="720" w:type="dxa"/>
            <w:vAlign w:val="bottom"/>
            <w:tcBorders>
              <w:bottom w:val="single" w:sz="8" w:color="auto"/>
            </w:tcBorders>
            <w:shd w:val="clear" w:color="auto" w:fill="CCEEFF"/>
          </w:tcPr>
          <w:p>
            <w:pPr>
              <w:spacing w:after="0"/>
              <w:rPr>
                <w:sz w:val="14"/>
                <w:szCs w:val="14"/>
                <w:color w:val="auto"/>
              </w:rPr>
            </w:pPr>
          </w:p>
        </w:tc>
        <w:tc>
          <w:tcPr>
            <w:tcW w:w="560" w:type="dxa"/>
            <w:vAlign w:val="bottom"/>
            <w:tcBorders>
              <w:bottom w:val="single" w:sz="8" w:color="auto"/>
            </w:tcBorders>
            <w:shd w:val="clear" w:color="auto" w:fill="CCEEFF"/>
          </w:tcPr>
          <w:p>
            <w:pPr>
              <w:spacing w:after="0"/>
              <w:rPr>
                <w:sz w:val="14"/>
                <w:szCs w:val="14"/>
                <w:color w:val="auto"/>
              </w:rPr>
            </w:pPr>
          </w:p>
        </w:tc>
        <w:tc>
          <w:tcPr>
            <w:tcW w:w="68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spacing w:after="0"/>
              <w:rPr>
                <w:sz w:val="14"/>
                <w:szCs w:val="14"/>
                <w:color w:val="auto"/>
              </w:rPr>
            </w:pPr>
          </w:p>
        </w:tc>
      </w:tr>
      <w:tr>
        <w:trPr>
          <w:trHeight w:val="149"/>
        </w:trPr>
        <w:tc>
          <w:tcPr>
            <w:tcW w:w="162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70"/>
              <w:spacing w:after="0" w:line="122" w:lineRule="exact"/>
              <w:rPr>
                <w:sz w:val="20"/>
                <w:szCs w:val="20"/>
                <w:color w:val="auto"/>
              </w:rPr>
            </w:pPr>
            <w:r>
              <w:rPr>
                <w:rFonts w:ascii="Times New Roman" w:cs="Times New Roman" w:eastAsia="Times New Roman" w:hAnsi="Times New Roman"/>
                <w:sz w:val="11"/>
                <w:szCs w:val="11"/>
                <w:b w:val="1"/>
                <w:bCs w:val="1"/>
                <w:color w:val="auto"/>
              </w:rPr>
              <w:t>Absoluta</w:t>
            </w:r>
          </w:p>
        </w:tc>
        <w:tc>
          <w:tcPr>
            <w:tcW w:w="360" w:type="dxa"/>
            <w:vAlign w:val="bottom"/>
            <w:tcBorders>
              <w:bottom w:val="single" w:sz="8" w:color="auto"/>
            </w:tcBorders>
          </w:tcPr>
          <w:p>
            <w:pPr>
              <w:jc w:val="right"/>
              <w:ind w:right="110"/>
              <w:spacing w:after="0" w:line="122" w:lineRule="exact"/>
              <w:rPr>
                <w:sz w:val="20"/>
                <w:szCs w:val="20"/>
                <w:color w:val="auto"/>
              </w:rPr>
            </w:pPr>
            <w:r>
              <w:rPr>
                <w:rFonts w:ascii="Times New Roman" w:cs="Times New Roman" w:eastAsia="Times New Roman" w:hAnsi="Times New Roman"/>
                <w:sz w:val="11"/>
                <w:szCs w:val="11"/>
                <w:b w:val="1"/>
                <w:bCs w:val="1"/>
                <w:color w:val="auto"/>
              </w:rPr>
              <w:t>%</w:t>
            </w:r>
          </w:p>
        </w:tc>
        <w:tc>
          <w:tcPr>
            <w:tcW w:w="8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Diciembre</w:t>
            </w:r>
          </w:p>
        </w:tc>
        <w:tc>
          <w:tcPr>
            <w:tcW w:w="72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1"/>
                <w:szCs w:val="11"/>
                <w:b w:val="1"/>
                <w:bCs w:val="1"/>
                <w:color w:val="auto"/>
              </w:rPr>
              <w:t>Enero</w:t>
            </w:r>
          </w:p>
        </w:tc>
        <w:tc>
          <w:tcPr>
            <w:tcW w:w="70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1"/>
                <w:szCs w:val="11"/>
                <w:b w:val="1"/>
                <w:bCs w:val="1"/>
                <w:color w:val="auto"/>
              </w:rPr>
              <w:t>Febrero</w:t>
            </w:r>
          </w:p>
        </w:tc>
        <w:tc>
          <w:tcPr>
            <w:tcW w:w="72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1"/>
                <w:szCs w:val="11"/>
                <w:b w:val="1"/>
                <w:bCs w:val="1"/>
                <w:color w:val="auto"/>
              </w:rPr>
              <w:t>Marzo</w:t>
            </w:r>
          </w:p>
        </w:tc>
        <w:tc>
          <w:tcPr>
            <w:tcW w:w="720" w:type="dxa"/>
            <w:vAlign w:val="bottom"/>
            <w:tcBorders>
              <w:bottom w:val="single" w:sz="8" w:color="auto"/>
            </w:tcBorders>
          </w:tcPr>
          <w:p>
            <w:pPr>
              <w:jc w:val="right"/>
              <w:ind w:right="270"/>
              <w:spacing w:after="0"/>
              <w:rPr>
                <w:sz w:val="20"/>
                <w:szCs w:val="20"/>
                <w:color w:val="auto"/>
              </w:rPr>
            </w:pPr>
            <w:r>
              <w:rPr>
                <w:rFonts w:ascii="Times New Roman" w:cs="Times New Roman" w:eastAsia="Times New Roman" w:hAnsi="Times New Roman"/>
                <w:sz w:val="11"/>
                <w:szCs w:val="11"/>
                <w:b w:val="1"/>
                <w:bCs w:val="1"/>
                <w:color w:val="auto"/>
              </w:rPr>
              <w:t>Abril</w:t>
            </w:r>
          </w:p>
        </w:tc>
        <w:tc>
          <w:tcPr>
            <w:tcW w:w="720" w:type="dxa"/>
            <w:vAlign w:val="bottom"/>
            <w:tcBorders>
              <w:bottom w:val="single" w:sz="8" w:color="auto"/>
            </w:tcBorders>
          </w:tcPr>
          <w:p>
            <w:pPr>
              <w:jc w:val="right"/>
              <w:ind w:right="270"/>
              <w:spacing w:after="0"/>
              <w:rPr>
                <w:sz w:val="20"/>
                <w:szCs w:val="20"/>
                <w:color w:val="auto"/>
              </w:rPr>
            </w:pPr>
            <w:r>
              <w:rPr>
                <w:rFonts w:ascii="Times New Roman" w:cs="Times New Roman" w:eastAsia="Times New Roman" w:hAnsi="Times New Roman"/>
                <w:sz w:val="11"/>
                <w:szCs w:val="11"/>
                <w:b w:val="1"/>
                <w:bCs w:val="1"/>
                <w:color w:val="auto"/>
              </w:rPr>
              <w:t>Mayo</w:t>
            </w:r>
          </w:p>
        </w:tc>
        <w:tc>
          <w:tcPr>
            <w:tcW w:w="66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1"/>
                <w:szCs w:val="11"/>
                <w:b w:val="1"/>
                <w:bCs w:val="1"/>
                <w:color w:val="auto"/>
              </w:rPr>
              <w:t>Junio</w:t>
            </w:r>
          </w:p>
        </w:tc>
        <w:tc>
          <w:tcPr>
            <w:tcW w:w="36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1"/>
                <w:szCs w:val="11"/>
                <w:b w:val="1"/>
                <w:bCs w:val="1"/>
                <w:color w:val="auto"/>
              </w:rPr>
              <w:t>Julio</w:t>
            </w:r>
          </w:p>
        </w:tc>
        <w:tc>
          <w:tcPr>
            <w:tcW w:w="48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1"/>
                <w:szCs w:val="11"/>
                <w:b w:val="1"/>
                <w:bCs w:val="1"/>
                <w:color w:val="auto"/>
              </w:rPr>
              <w:t>Agosto</w:t>
            </w:r>
          </w:p>
        </w:tc>
        <w:tc>
          <w:tcPr>
            <w:tcW w:w="72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Septiembre</w:t>
            </w:r>
          </w:p>
        </w:tc>
        <w:tc>
          <w:tcPr>
            <w:tcW w:w="56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Octubre</w:t>
            </w:r>
          </w:p>
        </w:tc>
        <w:tc>
          <w:tcPr>
            <w:tcW w:w="68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1"/>
                <w:szCs w:val="11"/>
                <w:b w:val="1"/>
                <w:bCs w:val="1"/>
                <w:color w:val="auto"/>
              </w:rPr>
              <w:t>Noviembre</w:t>
            </w:r>
          </w:p>
        </w:tc>
        <w:tc>
          <w:tcPr>
            <w:tcW w:w="6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1"/>
                <w:szCs w:val="11"/>
                <w:b w:val="1"/>
                <w:bCs w:val="1"/>
                <w:color w:val="auto"/>
              </w:rPr>
              <w:t>Diciembre</w:t>
            </w:r>
          </w:p>
        </w:tc>
      </w:tr>
      <w:tr>
        <w:trPr>
          <w:trHeight w:val="148"/>
        </w:trPr>
        <w:tc>
          <w:tcPr>
            <w:tcW w:w="16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ACTIVOS LIQUIDOS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-385,758.66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-30.80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1,252,646.71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1,279,700.07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1,014,536.79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653,320.16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770,165.62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738,481.73</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866,888.05</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Depósitos Locales en Bancos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99.06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6,031.69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3,236.30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8,480.28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5,103.62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8,272.13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8,263.51</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6,130.76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1,849.06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68.95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2,681.69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1,636.30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3,380.28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3,503.62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4,922.13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4,913.51</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4,530.76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-1,750.00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-52.24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1,600.00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5,100.00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1,600.00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1,600.00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Depósitos Extranjeros en Bancos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-385,857.73</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-30.95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1,246,615.02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1,276,463.77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1,006,056.51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648,216.54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761,893.49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730,218.23</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860,757.29</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-410,857.73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-32.96</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1,246,615.02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1,251,463.77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981,056.51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648,216.54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736,893.49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705,218.23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835,757.29</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25,000.00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25,000.00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25,000.00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25,000.00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25,000.00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25,000.00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Menos Provisiones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Otros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CARTERA CREDITICIA</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1,024,935.77</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17.98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5,698,896.65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5,531,284.34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5,740,705.63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6,429,334.06</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6,571,922.44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6,433,304.33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6,723,832.42</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-43,880.13</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-10.21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429,687.89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449,915.21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448,537.61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450,782.90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415,274.05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397,911.24</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385,807.76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1,077,789.30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20.30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5,310,087.34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5,123,396.68</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5,337,749.63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6,027,076.59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6,205,903.12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6,085,944.90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6,387,876.64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Menos Provisiones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8,973.40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21.95</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40,878.58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42,027.54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45,581.61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48,525.43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49,254.73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50,551.81</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49,851.98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-534.22</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-7.95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6,720.73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6,787.32</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7,064.17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6,484.52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6,304.07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6,174.93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6,186.51</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9,507.62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27.83</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34,157.85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35,240.22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38,517.44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42,040.91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42,950.66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44,376.88</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43,665.46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INVERSIONES EN VALORES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276,426.08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33.09</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835,464.65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877,315.69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900,609.11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1,101,049.68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1,141,122.90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1,126,248.48</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1,111,890.73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1,302.93</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5.71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22,807.68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26,818.67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24,464.80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24,195.28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24,166.21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24,139.05</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24,110.61</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276,240.02</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33.92</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814,447.46</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852,351.24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878,355.91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1,079,397.43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1,119,599.98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1,104,769.23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1,090,687.48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Menos Provisiones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1,116.86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62.38</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1,790.49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1,854.21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2,211.59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2,543.04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2,643.29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2,659.80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2,907.36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2.68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5.82</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46.00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54.24</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49.64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49.27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48.64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48.58</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48.68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1,114.19</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63.87</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1,744.49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1,799.97</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2,161.95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2,493.77</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2,594.65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2,611.22</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2,858.68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OTROS ACTIVOS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-29,458.11</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-11.14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264,472.07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223,269.70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213,827.08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287,841.18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337,536.48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222,483.64</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235,013.96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25,182.44</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96.31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26,146.47</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25,769.44</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38,837.86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-44,124.64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50,586.84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49,087.80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51,328.92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-54,640.55</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-22.93</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238,325.59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197,500.26</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174,989.22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331,965.82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286,949.64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173,395.84</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183,685.04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TOTAL DE ACTIVOS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886,145.08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11.01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8,051,480.07</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7,911,569.81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7,869,678.62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8,471,545.07</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8,820,747.43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8,520,518.18</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8,937,625.16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54"/>
        </w:trPr>
        <w:tc>
          <w:tcPr>
            <w:tcW w:w="1620" w:type="dxa"/>
            <w:vAlign w:val="bottom"/>
          </w:tcPr>
          <w:p>
            <w:pPr>
              <w:spacing w:after="0"/>
              <w:rPr>
                <w:sz w:val="4"/>
                <w:szCs w:val="4"/>
                <w:color w:val="auto"/>
              </w:rPr>
            </w:pPr>
          </w:p>
        </w:tc>
        <w:tc>
          <w:tcPr>
            <w:tcW w:w="780" w:type="dxa"/>
            <w:vAlign w:val="bottom"/>
          </w:tcPr>
          <w:p>
            <w:pPr>
              <w:spacing w:after="0"/>
              <w:rPr>
                <w:sz w:val="4"/>
                <w:szCs w:val="4"/>
                <w:color w:val="auto"/>
              </w:rPr>
            </w:pPr>
          </w:p>
        </w:tc>
        <w:tc>
          <w:tcPr>
            <w:tcW w:w="360" w:type="dxa"/>
            <w:vAlign w:val="bottom"/>
          </w:tcPr>
          <w:p>
            <w:pPr>
              <w:spacing w:after="0"/>
              <w:rPr>
                <w:sz w:val="4"/>
                <w:szCs w:val="4"/>
                <w:color w:val="auto"/>
              </w:rPr>
            </w:pPr>
          </w:p>
        </w:tc>
        <w:tc>
          <w:tcPr>
            <w:tcW w:w="800" w:type="dxa"/>
            <w:vAlign w:val="bottom"/>
          </w:tcPr>
          <w:p>
            <w:pPr>
              <w:spacing w:after="0"/>
              <w:rPr>
                <w:sz w:val="4"/>
                <w:szCs w:val="4"/>
                <w:color w:val="auto"/>
              </w:rPr>
            </w:pPr>
          </w:p>
        </w:tc>
        <w:tc>
          <w:tcPr>
            <w:tcW w:w="720" w:type="dxa"/>
            <w:vAlign w:val="bottom"/>
          </w:tcPr>
          <w:p>
            <w:pPr>
              <w:spacing w:after="0"/>
              <w:rPr>
                <w:sz w:val="4"/>
                <w:szCs w:val="4"/>
                <w:color w:val="auto"/>
              </w:rPr>
            </w:pPr>
          </w:p>
        </w:tc>
        <w:tc>
          <w:tcPr>
            <w:tcW w:w="700" w:type="dxa"/>
            <w:vAlign w:val="bottom"/>
          </w:tcPr>
          <w:p>
            <w:pPr>
              <w:spacing w:after="0"/>
              <w:rPr>
                <w:sz w:val="4"/>
                <w:szCs w:val="4"/>
                <w:color w:val="auto"/>
              </w:rPr>
            </w:pPr>
          </w:p>
        </w:tc>
        <w:tc>
          <w:tcPr>
            <w:tcW w:w="720" w:type="dxa"/>
            <w:vAlign w:val="bottom"/>
          </w:tcPr>
          <w:p>
            <w:pPr>
              <w:spacing w:after="0"/>
              <w:rPr>
                <w:sz w:val="4"/>
                <w:szCs w:val="4"/>
                <w:color w:val="auto"/>
              </w:rPr>
            </w:pPr>
          </w:p>
        </w:tc>
        <w:tc>
          <w:tcPr>
            <w:tcW w:w="720" w:type="dxa"/>
            <w:vAlign w:val="bottom"/>
          </w:tcPr>
          <w:p>
            <w:pPr>
              <w:spacing w:after="0"/>
              <w:rPr>
                <w:sz w:val="4"/>
                <w:szCs w:val="4"/>
                <w:color w:val="auto"/>
              </w:rPr>
            </w:pPr>
          </w:p>
        </w:tc>
        <w:tc>
          <w:tcPr>
            <w:tcW w:w="720" w:type="dxa"/>
            <w:vAlign w:val="bottom"/>
          </w:tcPr>
          <w:p>
            <w:pPr>
              <w:spacing w:after="0"/>
              <w:rPr>
                <w:sz w:val="4"/>
                <w:szCs w:val="4"/>
                <w:color w:val="auto"/>
              </w:rPr>
            </w:pPr>
          </w:p>
        </w:tc>
        <w:tc>
          <w:tcPr>
            <w:tcW w:w="660" w:type="dxa"/>
            <w:vAlign w:val="bottom"/>
          </w:tcPr>
          <w:p>
            <w:pPr>
              <w:spacing w:after="0"/>
              <w:rPr>
                <w:sz w:val="4"/>
                <w:szCs w:val="4"/>
                <w:color w:val="auto"/>
              </w:rPr>
            </w:pPr>
          </w:p>
        </w:tc>
        <w:tc>
          <w:tcPr>
            <w:tcW w:w="360" w:type="dxa"/>
            <w:vAlign w:val="bottom"/>
          </w:tcPr>
          <w:p>
            <w:pPr>
              <w:spacing w:after="0"/>
              <w:rPr>
                <w:sz w:val="4"/>
                <w:szCs w:val="4"/>
                <w:color w:val="auto"/>
              </w:rPr>
            </w:pPr>
          </w:p>
        </w:tc>
        <w:tc>
          <w:tcPr>
            <w:tcW w:w="480" w:type="dxa"/>
            <w:vAlign w:val="bottom"/>
          </w:tcPr>
          <w:p>
            <w:pPr>
              <w:spacing w:after="0"/>
              <w:rPr>
                <w:sz w:val="4"/>
                <w:szCs w:val="4"/>
                <w:color w:val="auto"/>
              </w:rPr>
            </w:pPr>
          </w:p>
        </w:tc>
        <w:tc>
          <w:tcPr>
            <w:tcW w:w="720" w:type="dxa"/>
            <w:vAlign w:val="bottom"/>
          </w:tcPr>
          <w:p>
            <w:pPr>
              <w:spacing w:after="0"/>
              <w:rPr>
                <w:sz w:val="4"/>
                <w:szCs w:val="4"/>
                <w:color w:val="auto"/>
              </w:rPr>
            </w:pPr>
          </w:p>
        </w:tc>
        <w:tc>
          <w:tcPr>
            <w:tcW w:w="560" w:type="dxa"/>
            <w:vAlign w:val="bottom"/>
          </w:tcPr>
          <w:p>
            <w:pPr>
              <w:spacing w:after="0"/>
              <w:rPr>
                <w:sz w:val="4"/>
                <w:szCs w:val="4"/>
                <w:color w:val="auto"/>
              </w:rPr>
            </w:pPr>
          </w:p>
        </w:tc>
        <w:tc>
          <w:tcPr>
            <w:tcW w:w="680" w:type="dxa"/>
            <w:vAlign w:val="bottom"/>
          </w:tcPr>
          <w:p>
            <w:pPr>
              <w:spacing w:after="0"/>
              <w:rPr>
                <w:sz w:val="4"/>
                <w:szCs w:val="4"/>
                <w:color w:val="auto"/>
              </w:rPr>
            </w:pPr>
          </w:p>
        </w:tc>
        <w:tc>
          <w:tcPr>
            <w:tcW w:w="620" w:type="dxa"/>
            <w:vAlign w:val="bottom"/>
          </w:tcPr>
          <w:p>
            <w:pPr>
              <w:spacing w:after="0"/>
              <w:rPr>
                <w:sz w:val="4"/>
                <w:szCs w:val="4"/>
                <w:color w:val="auto"/>
              </w:rPr>
            </w:pPr>
          </w:p>
        </w:tc>
      </w:tr>
      <w:tr>
        <w:trPr>
          <w:trHeight w:val="148"/>
        </w:trPr>
        <w:tc>
          <w:tcPr>
            <w:tcW w:w="16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DEPOSITOS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73,450.54</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3,036,227.92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3,024,973.12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3,052,586.36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3,255,867.58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3,105,378.88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2,922,198.67</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3,109,678.46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73,460.84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12.58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584,139.79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575,480.80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628,356.95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713,323.75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732,839.62</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634,931.13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657,600.63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Oficiales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De Particulares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45,775.39</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18.95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241,544.54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237,966.45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291,330.38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372,280.05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355,838.96</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296,971.24</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287,319.93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1.95</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0.03</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6,242.76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6,665.18</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6,532.74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6,228.82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6,236.10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6,240.53</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6,244.70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45,773.44</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19.45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235,301.79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231,301.27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284,797.64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366,051.23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349,602.85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290,730.71</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281,075.23</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De Ahorros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De Bancos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27,685.45</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8.08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342,595.24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337,514.35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337,026.57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341,043.70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377,000.67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337,959.89</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370,280.70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27,685.45</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8.08</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342,595.24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337,514.35</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337,026.57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341,043.70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377,000.67</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337,959.89</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370,280.70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-10.30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2,452,088.13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2,449,492.32</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2,424,229.41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2,542,543.83</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2,372,539.26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2,287,267.54</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2,452,077.84</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Oficiales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De Particulares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74,464.23</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36.32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204,996.45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287,097.99</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315,629.49</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272,281.32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262,217.92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299,828.86</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279,460.68</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-3,573.07</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-64.76</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5,517.74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1,696.08</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7,241.43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1,285.36</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912.38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5,799.83</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1,944.68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78,037.29</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39.12</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199,478.70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285,401.91</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308,388.06</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270,995.95</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261,305.54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294,029.03</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277,516.00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De Ahorros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De Bancos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-74,474.52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-3.31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2,247,091.68</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2,162,394.33</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2,108,599.92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2,270,262.52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2,110,321.34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1,987,438.69</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2,172,617.16</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360"/>
              <w:spacing w:after="0"/>
              <w:rPr>
                <w:sz w:val="20"/>
                <w:szCs w:val="20"/>
                <w:color w:val="auto"/>
              </w:rPr>
            </w:pPr>
            <w:r>
              <w:rPr>
                <w:rFonts w:ascii="Times New Roman" w:cs="Times New Roman" w:eastAsia="Times New Roman" w:hAnsi="Times New Roman"/>
                <w:sz w:val="10"/>
                <w:szCs w:val="10"/>
                <w:color w:val="auto"/>
              </w:rPr>
              <w:t>A la Vista</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-34,547.78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-9.85</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350,595.25</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284,525.97</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310,530.51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428,622.40</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312,993.13</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335,337.65</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316,047.46</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10"/>
                <w:szCs w:val="10"/>
                <w:color w:val="auto"/>
              </w:rPr>
              <w:t>A Plazo</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-39,926.74</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-2.11</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1,896,496.44</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1,877,868.36</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1,798,069.41</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1,841,640.12</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1,797,328.20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1,652,101.03</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1,856,569.70</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43"/>
        </w:trPr>
        <w:tc>
          <w:tcPr>
            <w:tcW w:w="162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OBLIGACIONES</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800,084.18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21.44</w:t>
            </w:r>
          </w:p>
        </w:tc>
        <w:tc>
          <w:tcPr>
            <w:tcW w:w="8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3,731,675.21</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3,624,113.19</w:t>
            </w:r>
          </w:p>
        </w:tc>
        <w:tc>
          <w:tcPr>
            <w:tcW w:w="7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3,582,312.78</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3,909,047.69</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4,331,745.14</w:t>
            </w:r>
          </w:p>
        </w:tc>
        <w:tc>
          <w:tcPr>
            <w:tcW w:w="72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4,312,967.96</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4,531,759.38</w:t>
            </w:r>
          </w:p>
        </w:tc>
        <w:tc>
          <w:tcPr>
            <w:tcW w:w="3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39,755.42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39,739.50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39,744.80</w:t>
            </w:r>
          </w:p>
        </w:tc>
        <w:tc>
          <w:tcPr>
            <w:tcW w:w="72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39,750.18</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39,755.42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4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56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bl>
    <w:p>
      <w:pPr>
        <w:sectPr>
          <w:pgSz w:w="11900" w:h="16838" w:orient="portrait"/>
          <w:cols w:equalWidth="0" w:num="1">
            <w:col w:w="11220"/>
          </w:cols>
          <w:pgMar w:left="320" w:top="1009" w:right="359" w:bottom="1440" w:gutter="0" w:footer="0" w:header="0"/>
        </w:sectPr>
      </w:pPr>
    </w:p>
    <w:bookmarkStart w:id="6" w:name="page7"/>
    <w:bookmarkEnd w:id="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3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760,328.75</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20.37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3,731,675.21</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3,624,113.19</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3,582,312.78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3,869,308.20</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4,292,000.35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4,273,217.78</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4,492,003.96</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OTROS PASIVOS</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-14,256.10</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-5.10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279,339.48</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249,830.66</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218,546.02</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289,586.34</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360,578.96</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264,926.63</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265,083.37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Locales</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39,592.64</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166.21</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23,820.46</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28,196.42</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25,376.99</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52,511.18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46,835.88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71,040.30</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63,413.10</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Extranjero</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-53,848.75</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-21.07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255,519.02</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221,634.24</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193,169.03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237,075.16</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313,743.08</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193,886.33</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201,670.27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62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PATRIMONIO</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26,866.47</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2.68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1,004,237.47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1,012,652.84</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1,016,233.46</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1,017,043.45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1,023,044.45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1,020,424.92</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1,031,103.93</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Capital</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1,213.81</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0.43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284,085.03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284,221.09</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284,322.15</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284,502.95</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284,734.96</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284,987.99</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285,298.85</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Reservas de Capital</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95,210.15</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95,210.15</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7"/>
        </w:trPr>
        <w:tc>
          <w:tcPr>
            <w:tcW w:w="162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Otras Reservas</w:t>
            </w:r>
          </w:p>
        </w:tc>
        <w:tc>
          <w:tcPr>
            <w:tcW w:w="780" w:type="dxa"/>
            <w:vAlign w:val="bottom"/>
            <w:tcBorders>
              <w:bottom w:val="single" w:sz="8" w:color="CCEEFF"/>
            </w:tcBorders>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4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Borders>
              <w:bottom w:val="single" w:sz="8" w:color="CCEEFF"/>
            </w:tcBorders>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Borders>
              <w:bottom w:val="single" w:sz="8" w:color="CCEEFF"/>
            </w:tcBorders>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Borders>
              <w:bottom w:val="single" w:sz="8" w:color="CCEEFF"/>
            </w:tcBorders>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420" w:type="dxa"/>
            <w:vAlign w:val="bottom"/>
            <w:tcBorders>
              <w:bottom w:val="single" w:sz="8" w:color="CCEEFF"/>
            </w:tcBorders>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Borders>
              <w:bottom w:val="single" w:sz="8" w:color="CCEEFF"/>
            </w:tcBorders>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620" w:type="dxa"/>
            <w:vAlign w:val="bottom"/>
          </w:tcPr>
          <w:p>
            <w:pPr>
              <w:ind w:left="240"/>
              <w:spacing w:after="0"/>
              <w:rPr>
                <w:sz w:val="20"/>
                <w:szCs w:val="20"/>
                <w:color w:val="auto"/>
              </w:rPr>
            </w:pPr>
            <w:r>
              <w:rPr>
                <w:rFonts w:ascii="Times New Roman" w:cs="Times New Roman" w:eastAsia="Times New Roman" w:hAnsi="Times New Roman"/>
                <w:sz w:val="10"/>
                <w:szCs w:val="10"/>
                <w:color w:val="auto"/>
              </w:rPr>
              <w:t>Provisiones Dinámicas</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136,018.57</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136,018.57</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0"/>
                <w:szCs w:val="10"/>
                <w:color w:val="auto"/>
              </w:rPr>
              <w:t>Otras Reservas</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0.00</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43"/>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Utilidad de Periodos Anteriores</w:t>
            </w:r>
          </w:p>
        </w:tc>
        <w:tc>
          <w:tcPr>
            <w:tcW w:w="78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44,919.63</w:t>
            </w:r>
          </w:p>
        </w:tc>
        <w:tc>
          <w:tcPr>
            <w:tcW w:w="44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10.27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437,402.81</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500,471.97</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500,471.97</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491,405.08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491,405.08</w:t>
            </w:r>
          </w:p>
        </w:tc>
        <w:tc>
          <w:tcPr>
            <w:tcW w:w="720" w:type="dxa"/>
            <w:vAlign w:val="bottom"/>
          </w:tcPr>
          <w:p>
            <w:pPr>
              <w:jc w:val="right"/>
              <w:ind w:right="51"/>
              <w:spacing w:after="0"/>
              <w:rPr>
                <w:sz w:val="20"/>
                <w:szCs w:val="20"/>
                <w:color w:val="auto"/>
              </w:rPr>
            </w:pPr>
            <w:r>
              <w:rPr>
                <w:rFonts w:ascii="Times New Roman" w:cs="Times New Roman" w:eastAsia="Times New Roman" w:hAnsi="Times New Roman"/>
                <w:sz w:val="10"/>
                <w:szCs w:val="10"/>
                <w:color w:val="auto"/>
              </w:rPr>
              <w:t>482,322.44</w:t>
            </w:r>
          </w:p>
        </w:tc>
        <w:tc>
          <w:tcPr>
            <w:tcW w:w="700" w:type="dxa"/>
            <w:vAlign w:val="bottom"/>
          </w:tcPr>
          <w:p>
            <w:pPr>
              <w:jc w:val="right"/>
              <w:ind w:right="31"/>
              <w:spacing w:after="0"/>
              <w:rPr>
                <w:sz w:val="20"/>
                <w:szCs w:val="20"/>
                <w:color w:val="auto"/>
              </w:rPr>
            </w:pPr>
            <w:r>
              <w:rPr>
                <w:rFonts w:ascii="Times New Roman" w:cs="Times New Roman" w:eastAsia="Times New Roman" w:hAnsi="Times New Roman"/>
                <w:sz w:val="10"/>
                <w:szCs w:val="10"/>
                <w:color w:val="auto"/>
              </w:rPr>
              <w:t>482,322.44</w:t>
            </w:r>
          </w:p>
        </w:tc>
        <w:tc>
          <w:tcPr>
            <w:tcW w:w="420" w:type="dxa"/>
            <w:vAlign w:val="bottom"/>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0"/>
                <w:szCs w:val="10"/>
                <w:color w:val="auto"/>
              </w:rPr>
              <w:t>Utilidad de Periodo</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-28,809.38</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-45.68</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63,069.15</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5,660.16</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7,943.51</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11,157.53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17,407.60</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24,497.60</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34,259.77</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18"/>
        </w:trPr>
        <w:tc>
          <w:tcPr>
            <w:tcW w:w="1620" w:type="dxa"/>
            <w:vAlign w:val="bottom"/>
          </w:tcPr>
          <w:p>
            <w:pPr>
              <w:ind w:left="140"/>
              <w:spacing w:after="0"/>
              <w:rPr>
                <w:sz w:val="20"/>
                <w:szCs w:val="20"/>
                <w:color w:val="auto"/>
              </w:rPr>
            </w:pPr>
            <w:r>
              <w:rPr>
                <w:rFonts w:ascii="Times New Roman" w:cs="Times New Roman" w:eastAsia="Times New Roman" w:hAnsi="Times New Roman"/>
                <w:sz w:val="10"/>
                <w:szCs w:val="10"/>
                <w:color w:val="auto"/>
              </w:rPr>
              <w:t>Ganancia o Perdida en Valores</w:t>
            </w:r>
          </w:p>
        </w:tc>
        <w:tc>
          <w:tcPr>
            <w:tcW w:w="780" w:type="dxa"/>
            <w:vAlign w:val="bottom"/>
            <w:vMerge w:val="restart"/>
          </w:tcPr>
          <w:p>
            <w:pPr>
              <w:jc w:val="right"/>
              <w:ind w:right="31"/>
              <w:spacing w:after="0"/>
              <w:rPr>
                <w:sz w:val="20"/>
                <w:szCs w:val="20"/>
                <w:color w:val="auto"/>
              </w:rPr>
            </w:pPr>
            <w:r>
              <w:rPr>
                <w:rFonts w:ascii="Times New Roman" w:cs="Times New Roman" w:eastAsia="Times New Roman" w:hAnsi="Times New Roman"/>
                <w:sz w:val="10"/>
                <w:szCs w:val="10"/>
                <w:color w:val="auto"/>
              </w:rPr>
              <w:t>9,542.41</w:t>
            </w:r>
          </w:p>
        </w:tc>
        <w:tc>
          <w:tcPr>
            <w:tcW w:w="44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-82.63</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-11,548.26</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-8,929.11</w:t>
            </w:r>
          </w:p>
        </w:tc>
        <w:tc>
          <w:tcPr>
            <w:tcW w:w="700" w:type="dxa"/>
            <w:vAlign w:val="bottom"/>
            <w:vMerge w:val="restart"/>
          </w:tcPr>
          <w:p>
            <w:pPr>
              <w:jc w:val="right"/>
              <w:ind w:right="31"/>
              <w:spacing w:after="0"/>
              <w:rPr>
                <w:sz w:val="20"/>
                <w:szCs w:val="20"/>
                <w:color w:val="auto"/>
              </w:rPr>
            </w:pPr>
            <w:r>
              <w:rPr>
                <w:rFonts w:ascii="Times New Roman" w:cs="Times New Roman" w:eastAsia="Times New Roman" w:hAnsi="Times New Roman"/>
                <w:sz w:val="10"/>
                <w:szCs w:val="10"/>
                <w:color w:val="auto"/>
              </w:rPr>
              <w:t>-7,732.90</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-1,250.83</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-1,731.91</w:t>
            </w:r>
          </w:p>
        </w:tc>
        <w:tc>
          <w:tcPr>
            <w:tcW w:w="720" w:type="dxa"/>
            <w:vAlign w:val="bottom"/>
            <w:vMerge w:val="restart"/>
          </w:tcPr>
          <w:p>
            <w:pPr>
              <w:jc w:val="right"/>
              <w:ind w:right="51"/>
              <w:spacing w:after="0"/>
              <w:rPr>
                <w:sz w:val="20"/>
                <w:szCs w:val="20"/>
                <w:color w:val="auto"/>
              </w:rPr>
            </w:pPr>
            <w:r>
              <w:rPr>
                <w:rFonts w:ascii="Times New Roman" w:cs="Times New Roman" w:eastAsia="Times New Roman" w:hAnsi="Times New Roman"/>
                <w:sz w:val="10"/>
                <w:szCs w:val="10"/>
                <w:color w:val="auto"/>
              </w:rPr>
              <w:t>-2,611.84</w:t>
            </w:r>
          </w:p>
        </w:tc>
        <w:tc>
          <w:tcPr>
            <w:tcW w:w="700" w:type="dxa"/>
            <w:vAlign w:val="bottom"/>
            <w:vMerge w:val="restart"/>
          </w:tcPr>
          <w:p>
            <w:pPr>
              <w:jc w:val="right"/>
              <w:ind w:right="31"/>
              <w:spacing w:after="0"/>
              <w:rPr>
                <w:sz w:val="20"/>
                <w:szCs w:val="20"/>
                <w:color w:val="auto"/>
              </w:rPr>
            </w:pPr>
            <w:r>
              <w:rPr>
                <w:rFonts w:ascii="Times New Roman" w:cs="Times New Roman" w:eastAsia="Times New Roman" w:hAnsi="Times New Roman"/>
                <w:sz w:val="10"/>
                <w:szCs w:val="10"/>
                <w:color w:val="auto"/>
              </w:rPr>
              <w:t>-2,005.85</w:t>
            </w:r>
          </w:p>
        </w:tc>
        <w:tc>
          <w:tcPr>
            <w:tcW w:w="420" w:type="dxa"/>
            <w:vAlign w:val="bottom"/>
            <w:vMerge w:val="restart"/>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vMerge w:val="restart"/>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vMerge w:val="restart"/>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vMerge w:val="restart"/>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vMerge w:val="restart"/>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vMerge w:val="restart"/>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74"/>
        </w:trPr>
        <w:tc>
          <w:tcPr>
            <w:tcW w:w="1620" w:type="dxa"/>
            <w:vAlign w:val="bottom"/>
            <w:vMerge w:val="restart"/>
          </w:tcPr>
          <w:p>
            <w:pPr>
              <w:ind w:left="140"/>
              <w:spacing w:after="0"/>
              <w:rPr>
                <w:sz w:val="20"/>
                <w:szCs w:val="20"/>
                <w:color w:val="auto"/>
              </w:rPr>
            </w:pPr>
            <w:r>
              <w:rPr>
                <w:rFonts w:ascii="Times New Roman" w:cs="Times New Roman" w:eastAsia="Times New Roman" w:hAnsi="Times New Roman"/>
                <w:sz w:val="10"/>
                <w:szCs w:val="10"/>
                <w:color w:val="auto"/>
              </w:rPr>
              <w:t>Disponible para la venta</w:t>
            </w:r>
          </w:p>
        </w:tc>
        <w:tc>
          <w:tcPr>
            <w:tcW w:w="780" w:type="dxa"/>
            <w:vAlign w:val="bottom"/>
            <w:vMerge w:val="continue"/>
          </w:tcPr>
          <w:p>
            <w:pPr>
              <w:spacing w:after="0"/>
              <w:rPr>
                <w:sz w:val="6"/>
                <w:szCs w:val="6"/>
                <w:color w:val="auto"/>
              </w:rPr>
            </w:pPr>
          </w:p>
        </w:tc>
        <w:tc>
          <w:tcPr>
            <w:tcW w:w="44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0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20" w:type="dxa"/>
            <w:vAlign w:val="bottom"/>
            <w:vMerge w:val="continue"/>
          </w:tcPr>
          <w:p>
            <w:pPr>
              <w:spacing w:after="0"/>
              <w:rPr>
                <w:sz w:val="6"/>
                <w:szCs w:val="6"/>
                <w:color w:val="auto"/>
              </w:rPr>
            </w:pPr>
          </w:p>
        </w:tc>
        <w:tc>
          <w:tcPr>
            <w:tcW w:w="700" w:type="dxa"/>
            <w:vAlign w:val="bottom"/>
            <w:vMerge w:val="continue"/>
          </w:tcPr>
          <w:p>
            <w:pPr>
              <w:spacing w:after="0"/>
              <w:rPr>
                <w:sz w:val="6"/>
                <w:szCs w:val="6"/>
                <w:color w:val="auto"/>
              </w:rPr>
            </w:pPr>
          </w:p>
        </w:tc>
        <w:tc>
          <w:tcPr>
            <w:tcW w:w="420" w:type="dxa"/>
            <w:vAlign w:val="bottom"/>
            <w:vMerge w:val="continue"/>
          </w:tcPr>
          <w:p>
            <w:pPr>
              <w:spacing w:after="0"/>
              <w:rPr>
                <w:sz w:val="6"/>
                <w:szCs w:val="6"/>
                <w:color w:val="auto"/>
              </w:rPr>
            </w:pPr>
          </w:p>
        </w:tc>
        <w:tc>
          <w:tcPr>
            <w:tcW w:w="600" w:type="dxa"/>
            <w:vAlign w:val="bottom"/>
            <w:vMerge w:val="continue"/>
          </w:tcPr>
          <w:p>
            <w:pPr>
              <w:spacing w:after="0"/>
              <w:rPr>
                <w:sz w:val="6"/>
                <w:szCs w:val="6"/>
                <w:color w:val="auto"/>
              </w:rPr>
            </w:pPr>
          </w:p>
        </w:tc>
        <w:tc>
          <w:tcPr>
            <w:tcW w:w="640" w:type="dxa"/>
            <w:vAlign w:val="bottom"/>
            <w:vMerge w:val="continue"/>
          </w:tcPr>
          <w:p>
            <w:pPr>
              <w:spacing w:after="0"/>
              <w:rPr>
                <w:sz w:val="6"/>
                <w:szCs w:val="6"/>
                <w:color w:val="auto"/>
              </w:rPr>
            </w:pPr>
          </w:p>
        </w:tc>
        <w:tc>
          <w:tcPr>
            <w:tcW w:w="620" w:type="dxa"/>
            <w:vAlign w:val="bottom"/>
            <w:vMerge w:val="continue"/>
          </w:tcPr>
          <w:p>
            <w:pPr>
              <w:spacing w:after="0"/>
              <w:rPr>
                <w:sz w:val="6"/>
                <w:szCs w:val="6"/>
                <w:color w:val="auto"/>
              </w:rPr>
            </w:pPr>
          </w:p>
        </w:tc>
        <w:tc>
          <w:tcPr>
            <w:tcW w:w="680" w:type="dxa"/>
            <w:vAlign w:val="bottom"/>
            <w:vMerge w:val="continue"/>
          </w:tcPr>
          <w:p>
            <w:pPr>
              <w:spacing w:after="0"/>
              <w:rPr>
                <w:sz w:val="6"/>
                <w:szCs w:val="6"/>
                <w:color w:val="auto"/>
              </w:rPr>
            </w:pPr>
          </w:p>
        </w:tc>
        <w:tc>
          <w:tcPr>
            <w:tcW w:w="42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59"/>
        </w:trPr>
        <w:tc>
          <w:tcPr>
            <w:tcW w:w="1620" w:type="dxa"/>
            <w:vAlign w:val="bottom"/>
            <w:vMerge w:val="continue"/>
          </w:tcPr>
          <w:p>
            <w:pPr>
              <w:spacing w:after="0"/>
              <w:rPr>
                <w:sz w:val="5"/>
                <w:szCs w:val="5"/>
                <w:color w:val="auto"/>
              </w:rPr>
            </w:pPr>
          </w:p>
        </w:tc>
        <w:tc>
          <w:tcPr>
            <w:tcW w:w="780" w:type="dxa"/>
            <w:vAlign w:val="bottom"/>
          </w:tcPr>
          <w:p>
            <w:pPr>
              <w:spacing w:after="0"/>
              <w:rPr>
                <w:sz w:val="5"/>
                <w:szCs w:val="5"/>
                <w:color w:val="auto"/>
              </w:rPr>
            </w:pPr>
          </w:p>
        </w:tc>
        <w:tc>
          <w:tcPr>
            <w:tcW w:w="440" w:type="dxa"/>
            <w:vAlign w:val="bottom"/>
          </w:tcPr>
          <w:p>
            <w:pPr>
              <w:spacing w:after="0"/>
              <w:rPr>
                <w:sz w:val="5"/>
                <w:szCs w:val="5"/>
                <w:color w:val="auto"/>
              </w:rPr>
            </w:pPr>
          </w:p>
        </w:tc>
        <w:tc>
          <w:tcPr>
            <w:tcW w:w="720" w:type="dxa"/>
            <w:vAlign w:val="bottom"/>
          </w:tcPr>
          <w:p>
            <w:pPr>
              <w:spacing w:after="0"/>
              <w:rPr>
                <w:sz w:val="5"/>
                <w:szCs w:val="5"/>
                <w:color w:val="auto"/>
              </w:rPr>
            </w:pPr>
          </w:p>
        </w:tc>
        <w:tc>
          <w:tcPr>
            <w:tcW w:w="720" w:type="dxa"/>
            <w:vAlign w:val="bottom"/>
          </w:tcPr>
          <w:p>
            <w:pPr>
              <w:spacing w:after="0"/>
              <w:rPr>
                <w:sz w:val="5"/>
                <w:szCs w:val="5"/>
                <w:color w:val="auto"/>
              </w:rPr>
            </w:pPr>
          </w:p>
        </w:tc>
        <w:tc>
          <w:tcPr>
            <w:tcW w:w="700" w:type="dxa"/>
            <w:vAlign w:val="bottom"/>
          </w:tcPr>
          <w:p>
            <w:pPr>
              <w:spacing w:after="0"/>
              <w:rPr>
                <w:sz w:val="5"/>
                <w:szCs w:val="5"/>
                <w:color w:val="auto"/>
              </w:rPr>
            </w:pPr>
          </w:p>
        </w:tc>
        <w:tc>
          <w:tcPr>
            <w:tcW w:w="720" w:type="dxa"/>
            <w:vAlign w:val="bottom"/>
          </w:tcPr>
          <w:p>
            <w:pPr>
              <w:spacing w:after="0"/>
              <w:rPr>
                <w:sz w:val="5"/>
                <w:szCs w:val="5"/>
                <w:color w:val="auto"/>
              </w:rPr>
            </w:pPr>
          </w:p>
        </w:tc>
        <w:tc>
          <w:tcPr>
            <w:tcW w:w="720" w:type="dxa"/>
            <w:vAlign w:val="bottom"/>
          </w:tcPr>
          <w:p>
            <w:pPr>
              <w:spacing w:after="0"/>
              <w:rPr>
                <w:sz w:val="5"/>
                <w:szCs w:val="5"/>
                <w:color w:val="auto"/>
              </w:rPr>
            </w:pPr>
          </w:p>
        </w:tc>
        <w:tc>
          <w:tcPr>
            <w:tcW w:w="720" w:type="dxa"/>
            <w:vAlign w:val="bottom"/>
          </w:tcPr>
          <w:p>
            <w:pPr>
              <w:spacing w:after="0"/>
              <w:rPr>
                <w:sz w:val="5"/>
                <w:szCs w:val="5"/>
                <w:color w:val="auto"/>
              </w:rPr>
            </w:pPr>
          </w:p>
        </w:tc>
        <w:tc>
          <w:tcPr>
            <w:tcW w:w="700" w:type="dxa"/>
            <w:vAlign w:val="bottom"/>
          </w:tcPr>
          <w:p>
            <w:pPr>
              <w:spacing w:after="0"/>
              <w:rPr>
                <w:sz w:val="5"/>
                <w:szCs w:val="5"/>
                <w:color w:val="auto"/>
              </w:rPr>
            </w:pPr>
          </w:p>
        </w:tc>
        <w:tc>
          <w:tcPr>
            <w:tcW w:w="420" w:type="dxa"/>
            <w:vAlign w:val="bottom"/>
          </w:tcPr>
          <w:p>
            <w:pPr>
              <w:spacing w:after="0"/>
              <w:rPr>
                <w:sz w:val="5"/>
                <w:szCs w:val="5"/>
                <w:color w:val="auto"/>
              </w:rPr>
            </w:pPr>
          </w:p>
        </w:tc>
        <w:tc>
          <w:tcPr>
            <w:tcW w:w="600" w:type="dxa"/>
            <w:vAlign w:val="bottom"/>
          </w:tcPr>
          <w:p>
            <w:pPr>
              <w:spacing w:after="0"/>
              <w:rPr>
                <w:sz w:val="5"/>
                <w:szCs w:val="5"/>
                <w:color w:val="auto"/>
              </w:rPr>
            </w:pPr>
          </w:p>
        </w:tc>
        <w:tc>
          <w:tcPr>
            <w:tcW w:w="640" w:type="dxa"/>
            <w:vAlign w:val="bottom"/>
          </w:tcPr>
          <w:p>
            <w:pPr>
              <w:spacing w:after="0"/>
              <w:rPr>
                <w:sz w:val="5"/>
                <w:szCs w:val="5"/>
                <w:color w:val="auto"/>
              </w:rPr>
            </w:pPr>
          </w:p>
        </w:tc>
        <w:tc>
          <w:tcPr>
            <w:tcW w:w="620" w:type="dxa"/>
            <w:vAlign w:val="bottom"/>
          </w:tcPr>
          <w:p>
            <w:pPr>
              <w:spacing w:after="0"/>
              <w:rPr>
                <w:sz w:val="5"/>
                <w:szCs w:val="5"/>
                <w:color w:val="auto"/>
              </w:rPr>
            </w:pPr>
          </w:p>
        </w:tc>
        <w:tc>
          <w:tcPr>
            <w:tcW w:w="680" w:type="dxa"/>
            <w:vAlign w:val="bottom"/>
          </w:tcPr>
          <w:p>
            <w:pPr>
              <w:spacing w:after="0"/>
              <w:rPr>
                <w:sz w:val="5"/>
                <w:szCs w:val="5"/>
                <w:color w:val="auto"/>
              </w:rPr>
            </w:pPr>
          </w:p>
        </w:tc>
        <w:tc>
          <w:tcPr>
            <w:tcW w:w="4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54"/>
        </w:trPr>
        <w:tc>
          <w:tcPr>
            <w:tcW w:w="16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PASIVO Y PATRIMONIO</w:t>
            </w:r>
          </w:p>
        </w:tc>
        <w:tc>
          <w:tcPr>
            <w:tcW w:w="7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886,145.08</w:t>
            </w:r>
          </w:p>
        </w:tc>
        <w:tc>
          <w:tcPr>
            <w:tcW w:w="44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11.01</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8,051,480.07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7,911,569.81</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7,869,678.62</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8,471,545.07</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8,820,747.43</w:t>
            </w:r>
          </w:p>
        </w:tc>
        <w:tc>
          <w:tcPr>
            <w:tcW w:w="720" w:type="dxa"/>
            <w:vAlign w:val="bottom"/>
            <w:shd w:val="clear" w:color="auto" w:fill="CCEEFF"/>
          </w:tcPr>
          <w:p>
            <w:pPr>
              <w:jc w:val="right"/>
              <w:ind w:right="51"/>
              <w:spacing w:after="0"/>
              <w:rPr>
                <w:sz w:val="20"/>
                <w:szCs w:val="20"/>
                <w:color w:val="auto"/>
              </w:rPr>
            </w:pPr>
            <w:r>
              <w:rPr>
                <w:rFonts w:ascii="Times New Roman" w:cs="Times New Roman" w:eastAsia="Times New Roman" w:hAnsi="Times New Roman"/>
                <w:sz w:val="10"/>
                <w:szCs w:val="10"/>
                <w:color w:val="auto"/>
              </w:rPr>
              <w:t>8,520,518.18</w:t>
            </w:r>
          </w:p>
        </w:tc>
        <w:tc>
          <w:tcPr>
            <w:tcW w:w="70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0"/>
                <w:szCs w:val="10"/>
                <w:color w:val="auto"/>
              </w:rPr>
              <w:t>8,937,625.16</w:t>
            </w:r>
          </w:p>
        </w:tc>
        <w:tc>
          <w:tcPr>
            <w:tcW w:w="42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shd w:val="clear" w:color="auto" w:fill="CCEEFF"/>
          </w:tcPr>
          <w:p>
            <w:pPr>
              <w:jc w:val="right"/>
              <w:ind w:right="231"/>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shd w:val="clear" w:color="auto" w:fill="CCEEFF"/>
          </w:tcPr>
          <w:p>
            <w:pPr>
              <w:jc w:val="right"/>
              <w:ind w:right="151"/>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shd w:val="clear" w:color="auto" w:fill="CCEEFF"/>
          </w:tcPr>
          <w:p>
            <w:pPr>
              <w:jc w:val="right"/>
              <w:ind w:right="211"/>
              <w:spacing w:after="0"/>
              <w:rPr>
                <w:sz w:val="20"/>
                <w:szCs w:val="20"/>
                <w:color w:val="auto"/>
              </w:rPr>
            </w:pPr>
            <w:r>
              <w:rPr>
                <w:rFonts w:ascii="Times New Roman" w:cs="Times New Roman" w:eastAsia="Times New Roman" w:hAnsi="Times New Roman"/>
                <w:sz w:val="10"/>
                <w:szCs w:val="10"/>
                <w:color w:val="auto"/>
              </w:rPr>
              <w:t>0.00</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5"/>
          <w:szCs w:val="15"/>
          <w:b w:val="1"/>
          <w:bCs w:val="1"/>
          <w:color w:val="auto"/>
        </w:rPr>
        <w:t>*La unidad monetaria es par y equivalentes con el US$ dólar.</w:t>
      </w:r>
    </w:p>
    <w:p>
      <w:pPr>
        <w:spacing w:after="0" w:line="246"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Esta es una copia de la versión original, tomada de la publicación mensual de la Superintendencia de Bancos de Panamá. (sitioweb:</w:t>
      </w:r>
    </w:p>
    <w:p>
      <w:pPr>
        <w:spacing w:after="0" w:line="3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170180</wp:posOffset>
            </wp:positionV>
            <wp:extent cx="622363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223635" cy="8890"/>
                    </a:xfrm>
                    <a:prstGeom prst="rect">
                      <a:avLst/>
                    </a:prstGeom>
                    <a:noFill/>
                  </pic:spPr>
                </pic:pic>
              </a:graphicData>
            </a:graphic>
          </wp:anchor>
        </w:drawing>
      </w:r>
    </w:p>
    <w:p>
      <w:pPr>
        <w:sectPr>
          <w:pgSz w:w="11900" w:h="16838" w:orient="portrait"/>
          <w:cols w:equalWidth="0" w:num="1">
            <w:col w:w="11220"/>
          </w:cols>
          <w:pgMar w:left="320" w:top="1067" w:right="359" w:bottom="1440" w:gutter="0" w:footer="0" w:header="0"/>
        </w:sectPr>
      </w:pPr>
    </w:p>
    <w:bookmarkStart w:id="7" w:name="page8"/>
    <w:bookmarkEnd w:id="7"/>
    <w:p>
      <w:pPr>
        <w:jc w:val="both"/>
        <w:ind w:left="120" w:right="100"/>
        <w:spacing w:after="0" w:line="269" w:lineRule="auto"/>
        <w:rPr>
          <w:sz w:val="20"/>
          <w:szCs w:val="20"/>
          <w:color w:val="auto"/>
        </w:rPr>
      </w:pPr>
      <w:r>
        <w:rPr>
          <w:rFonts w:ascii="Times New Roman" w:cs="Times New Roman" w:eastAsia="Times New Roman" w:hAnsi="Times New Roman"/>
          <w:sz w:val="15"/>
          <w:szCs w:val="15"/>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457200</wp:posOffset>
            </wp:positionV>
            <wp:extent cx="539750" cy="5486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3975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ESTADO DE RESULTADOS</w:t>
      </w: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BANCO LATINOAMERICANO DE COMERCIO EXTERIOR, S.A.</w:t>
      </w: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DICIEMBRE 2021 - JUNIO 2022</w:t>
      </w:r>
    </w:p>
    <w:p>
      <w:pPr>
        <w:spacing w:after="0" w:line="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5"/>
          <w:szCs w:val="15"/>
          <w:b w:val="1"/>
          <w:bCs w:val="1"/>
          <w:color w:val="auto"/>
        </w:rPr>
        <w:t>(En miles de Balboas) *</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10160"/>
        <w:spacing w:after="0"/>
        <w:rPr>
          <w:sz w:val="20"/>
          <w:szCs w:val="20"/>
          <w:color w:val="auto"/>
        </w:rPr>
      </w:pPr>
      <w:r>
        <w:rPr>
          <w:rFonts w:ascii="Times New Roman" w:cs="Times New Roman" w:eastAsia="Times New Roman" w:hAnsi="Times New Roman"/>
          <w:sz w:val="15"/>
          <w:szCs w:val="15"/>
          <w:color w:val="auto"/>
        </w:rPr>
        <w:t>Julio 25, 2022</w:t>
      </w:r>
    </w:p>
    <w:p>
      <w:pPr>
        <w:spacing w:after="0" w:line="304"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1900" w:type="dxa"/>
            <w:vAlign w:val="bottom"/>
            <w:shd w:val="clear" w:color="auto" w:fill="CCEEFF"/>
          </w:tcPr>
          <w:p>
            <w:pPr>
              <w:spacing w:after="0"/>
              <w:rPr>
                <w:sz w:val="14"/>
                <w:szCs w:val="14"/>
                <w:color w:val="auto"/>
              </w:rPr>
            </w:pPr>
          </w:p>
        </w:tc>
        <w:tc>
          <w:tcPr>
            <w:tcW w:w="720" w:type="dxa"/>
            <w:vAlign w:val="bottom"/>
            <w:shd w:val="clear" w:color="auto" w:fill="CCEEFF"/>
          </w:tcPr>
          <w:p>
            <w:pPr>
              <w:jc w:val="right"/>
              <w:ind w:right="210"/>
              <w:spacing w:after="0"/>
              <w:rPr>
                <w:sz w:val="20"/>
                <w:szCs w:val="20"/>
                <w:color w:val="auto"/>
              </w:rPr>
            </w:pPr>
            <w:r>
              <w:rPr>
                <w:rFonts w:ascii="Times New Roman" w:cs="Times New Roman" w:eastAsia="Times New Roman" w:hAnsi="Times New Roman"/>
                <w:sz w:val="11"/>
                <w:szCs w:val="11"/>
                <w:b w:val="1"/>
                <w:bCs w:val="1"/>
                <w:color w:val="auto"/>
              </w:rPr>
              <w:t>2021</w:t>
            </w:r>
          </w:p>
        </w:tc>
        <w:tc>
          <w:tcPr>
            <w:tcW w:w="82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jc w:val="center"/>
              <w:ind w:left="190"/>
              <w:spacing w:after="0"/>
              <w:rPr>
                <w:sz w:val="20"/>
                <w:szCs w:val="20"/>
                <w:color w:val="auto"/>
              </w:rPr>
            </w:pPr>
            <w:r>
              <w:rPr>
                <w:rFonts w:ascii="Times New Roman" w:cs="Times New Roman" w:eastAsia="Times New Roman" w:hAnsi="Times New Roman"/>
                <w:sz w:val="11"/>
                <w:szCs w:val="11"/>
                <w:b w:val="1"/>
                <w:bCs w:val="1"/>
                <w:color w:val="auto"/>
                <w:w w:val="99"/>
              </w:rPr>
              <w:t>2022</w:t>
            </w:r>
          </w:p>
        </w:tc>
        <w:tc>
          <w:tcPr>
            <w:tcW w:w="640" w:type="dxa"/>
            <w:vAlign w:val="bottom"/>
            <w:tcBorders>
              <w:bottom w:val="single" w:sz="8" w:color="auto"/>
            </w:tcBorders>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720" w:type="dxa"/>
            <w:vAlign w:val="bottom"/>
            <w:tcBorders>
              <w:bottom w:val="single" w:sz="8" w:color="auto"/>
            </w:tcBorders>
            <w:shd w:val="clear" w:color="auto" w:fill="CCEEFF"/>
          </w:tcPr>
          <w:p>
            <w:pPr>
              <w:spacing w:after="0"/>
              <w:rPr>
                <w:sz w:val="14"/>
                <w:szCs w:val="14"/>
                <w:color w:val="auto"/>
              </w:rPr>
            </w:pPr>
          </w:p>
        </w:tc>
        <w:tc>
          <w:tcPr>
            <w:tcW w:w="680" w:type="dxa"/>
            <w:vAlign w:val="bottom"/>
            <w:tcBorders>
              <w:bottom w:val="single" w:sz="8" w:color="auto"/>
            </w:tcBorders>
            <w:shd w:val="clear" w:color="auto" w:fill="CCEEFF"/>
          </w:tcPr>
          <w:p>
            <w:pPr>
              <w:spacing w:after="0"/>
              <w:rPr>
                <w:sz w:val="14"/>
                <w:szCs w:val="14"/>
                <w:color w:val="auto"/>
              </w:rPr>
            </w:pPr>
          </w:p>
        </w:tc>
        <w:tc>
          <w:tcPr>
            <w:tcW w:w="660" w:type="dxa"/>
            <w:vAlign w:val="bottom"/>
            <w:tcBorders>
              <w:bottom w:val="single" w:sz="8" w:color="auto"/>
            </w:tcBorders>
            <w:shd w:val="clear" w:color="auto" w:fill="CCEEFF"/>
          </w:tcPr>
          <w:p>
            <w:pPr>
              <w:spacing w:after="0"/>
              <w:rPr>
                <w:sz w:val="14"/>
                <w:szCs w:val="14"/>
                <w:color w:val="auto"/>
              </w:rPr>
            </w:pPr>
          </w:p>
        </w:tc>
      </w:tr>
      <w:tr>
        <w:trPr>
          <w:trHeight w:val="149"/>
        </w:trPr>
        <w:tc>
          <w:tcPr>
            <w:tcW w:w="1900" w:type="dxa"/>
            <w:vAlign w:val="bottom"/>
            <w:tcBorders>
              <w:bottom w:val="single" w:sz="8" w:color="CCEEFF"/>
            </w:tcBorders>
          </w:tcPr>
          <w:p>
            <w:pPr>
              <w:spacing w:after="0"/>
              <w:rPr>
                <w:sz w:val="12"/>
                <w:szCs w:val="12"/>
                <w:color w:val="auto"/>
              </w:rPr>
            </w:pPr>
          </w:p>
        </w:tc>
        <w:tc>
          <w:tcPr>
            <w:tcW w:w="720" w:type="dxa"/>
            <w:vAlign w:val="bottom"/>
            <w:tcBorders>
              <w:bottom w:val="single" w:sz="8" w:color="auto"/>
            </w:tcBorders>
          </w:tcPr>
          <w:p>
            <w:pPr>
              <w:jc w:val="right"/>
              <w:ind w:right="70"/>
              <w:spacing w:after="0" w:line="122" w:lineRule="exact"/>
              <w:rPr>
                <w:sz w:val="20"/>
                <w:szCs w:val="20"/>
                <w:color w:val="auto"/>
              </w:rPr>
            </w:pPr>
            <w:r>
              <w:rPr>
                <w:rFonts w:ascii="Times New Roman" w:cs="Times New Roman" w:eastAsia="Times New Roman" w:hAnsi="Times New Roman"/>
                <w:sz w:val="11"/>
                <w:szCs w:val="11"/>
                <w:b w:val="1"/>
                <w:bCs w:val="1"/>
                <w:color w:val="auto"/>
              </w:rPr>
              <w:t>Diciembre</w:t>
            </w:r>
          </w:p>
        </w:tc>
        <w:tc>
          <w:tcPr>
            <w:tcW w:w="82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1"/>
                <w:szCs w:val="11"/>
                <w:b w:val="1"/>
                <w:bCs w:val="1"/>
                <w:color w:val="auto"/>
              </w:rPr>
              <w:t>Enero</w:t>
            </w:r>
          </w:p>
        </w:tc>
        <w:tc>
          <w:tcPr>
            <w:tcW w:w="64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1"/>
                <w:szCs w:val="11"/>
                <w:b w:val="1"/>
                <w:bCs w:val="1"/>
                <w:color w:val="auto"/>
              </w:rPr>
              <w:t>Febrero</w:t>
            </w:r>
          </w:p>
        </w:tc>
        <w:tc>
          <w:tcPr>
            <w:tcW w:w="6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Marzo</w:t>
            </w:r>
          </w:p>
        </w:tc>
        <w:tc>
          <w:tcPr>
            <w:tcW w:w="60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1"/>
                <w:szCs w:val="11"/>
                <w:b w:val="1"/>
                <w:bCs w:val="1"/>
                <w:color w:val="auto"/>
              </w:rPr>
              <w:t>Abril</w:t>
            </w:r>
          </w:p>
        </w:tc>
        <w:tc>
          <w:tcPr>
            <w:tcW w:w="60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1"/>
                <w:szCs w:val="11"/>
                <w:b w:val="1"/>
                <w:bCs w:val="1"/>
                <w:color w:val="auto"/>
              </w:rPr>
              <w:t>Mayo</w:t>
            </w:r>
          </w:p>
        </w:tc>
        <w:tc>
          <w:tcPr>
            <w:tcW w:w="60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1"/>
                <w:szCs w:val="11"/>
                <w:b w:val="1"/>
                <w:bCs w:val="1"/>
                <w:color w:val="auto"/>
              </w:rPr>
              <w:t>Junio</w:t>
            </w:r>
          </w:p>
        </w:tc>
        <w:tc>
          <w:tcPr>
            <w:tcW w:w="62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1"/>
                <w:szCs w:val="11"/>
                <w:b w:val="1"/>
                <w:bCs w:val="1"/>
                <w:color w:val="auto"/>
              </w:rPr>
              <w:t>Julio</w:t>
            </w:r>
          </w:p>
        </w:tc>
        <w:tc>
          <w:tcPr>
            <w:tcW w:w="64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1"/>
                <w:szCs w:val="11"/>
                <w:b w:val="1"/>
                <w:bCs w:val="1"/>
                <w:color w:val="auto"/>
              </w:rPr>
              <w:t>Agosto</w:t>
            </w:r>
          </w:p>
        </w:tc>
        <w:tc>
          <w:tcPr>
            <w:tcW w:w="78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1"/>
                <w:szCs w:val="11"/>
                <w:b w:val="1"/>
                <w:bCs w:val="1"/>
                <w:color w:val="auto"/>
              </w:rPr>
              <w:t>Septiembre</w:t>
            </w:r>
          </w:p>
        </w:tc>
        <w:tc>
          <w:tcPr>
            <w:tcW w:w="64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1"/>
                <w:szCs w:val="11"/>
                <w:b w:val="1"/>
                <w:bCs w:val="1"/>
                <w:color w:val="auto"/>
              </w:rPr>
              <w:t>Octubre</w:t>
            </w:r>
          </w:p>
        </w:tc>
        <w:tc>
          <w:tcPr>
            <w:tcW w:w="72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Noviembre</w:t>
            </w:r>
          </w:p>
        </w:tc>
        <w:tc>
          <w:tcPr>
            <w:tcW w:w="68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1"/>
                <w:szCs w:val="11"/>
                <w:b w:val="1"/>
                <w:bCs w:val="1"/>
                <w:color w:val="auto"/>
              </w:rPr>
              <w:t>Diciembre</w:t>
            </w:r>
          </w:p>
        </w:tc>
        <w:tc>
          <w:tcPr>
            <w:tcW w:w="66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1"/>
                <w:szCs w:val="11"/>
                <w:color w:val="auto"/>
              </w:rPr>
              <w:t>Acumulado</w:t>
            </w:r>
          </w:p>
        </w:tc>
      </w:tr>
      <w:tr>
        <w:trPr>
          <w:trHeight w:val="142"/>
        </w:trPr>
        <w:tc>
          <w:tcPr>
            <w:tcW w:w="1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Ingresos por Intereses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140,883.25</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14,174.85</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13,196.32</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17,632.98</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19,141.32</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21,720.11</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23,191.39</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109,056.99</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Préstamos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129,757.85</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12,816.24</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11,832.50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15,559.59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16,830.81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18,968.91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20,158.35</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96,166.40</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Depósitos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1,186.05</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153.25</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148.80</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200.85</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295.78</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581.63</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878.97</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2,259.27</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Inversiones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9,939.34</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1,205.37</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1,215.03</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1,872.55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2,014.73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2,169.57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2,154.07</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10,631.32</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Arrendamiento Financiero</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Otros Ingresos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Egresos de Operaciones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54,833.48</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6,095.11</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5,881.96</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7,496.15</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8,953.77</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10,485.70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12,151.01</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51,063.70</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Intereses Pagados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54,093.94</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6,015.09</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5,834.50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7,430.05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8,874.93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10,411.93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12,062.50</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50,628.99</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Comisiones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739.54</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80.02</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47.46</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66.10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78.84</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73.77</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88.51</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434.71</w:t>
            </w:r>
          </w:p>
        </w:tc>
      </w:tr>
      <w:tr>
        <w:trPr>
          <w:trHeight w:val="138"/>
        </w:trPr>
        <w:tc>
          <w:tcPr>
            <w:tcW w:w="190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Ingreso Neto de Intereses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86,049.76</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8,079.74</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7,314.37</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10,136.83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10,187.55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11,234.41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11,040.38</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57,993.29</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Otros Ingresos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244,745.57</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11,115.29</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7,362.42</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43,360.60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52,813.13</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48,029.41</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42,684.61</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205,365.46</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Comisiones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19,035.73</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1,259.07</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1,160.39</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1,723.20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1,654.74</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1,450.02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1,405.38</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8,652.81</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Operaciones con Divisas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Dividendos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0.00</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Otros ingresos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225,709.85</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9,856.22</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6,202.03</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41,637.40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51,158.39</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46,579.39</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41,279.23</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196,712.65</w:t>
            </w:r>
          </w:p>
        </w:tc>
      </w:tr>
      <w:tr>
        <w:trPr>
          <w:trHeight w:val="138"/>
        </w:trPr>
        <w:tc>
          <w:tcPr>
            <w:tcW w:w="190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Ingresos de Operaciones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330,795.33</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19,195.04</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14,676.79</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53,497.42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63,000.68</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59,263.82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53,725.00</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263,358.75</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0"/>
                <w:szCs w:val="10"/>
                <w:color w:val="auto"/>
              </w:rPr>
              <w:t>Egresos Generales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265,727.94</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12,960.48</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8,344.86</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46,795.67</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55,574.46</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50,690.82</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45,788.49</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220,154.79</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Gastos Administrativos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25,010.94</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1,627.91</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1,969.77</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4,099.93</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2,913.37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2,726.90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3,594.49</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16,932.36</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Gastos Generales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11,634.59</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783.82</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808.87</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995.74</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908.03</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1,077.38</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1,158.67</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5,732.52</w:t>
            </w:r>
          </w:p>
        </w:tc>
      </w:tr>
      <w:tr>
        <w:trPr>
          <w:trHeight w:val="138"/>
        </w:trPr>
        <w:tc>
          <w:tcPr>
            <w:tcW w:w="1900" w:type="dxa"/>
            <w:vAlign w:val="bottom"/>
          </w:tcPr>
          <w:p>
            <w:pPr>
              <w:ind w:left="160"/>
              <w:spacing w:after="0"/>
              <w:rPr>
                <w:sz w:val="20"/>
                <w:szCs w:val="20"/>
                <w:color w:val="auto"/>
              </w:rPr>
            </w:pPr>
            <w:r>
              <w:rPr>
                <w:rFonts w:ascii="Times New Roman" w:cs="Times New Roman" w:eastAsia="Times New Roman" w:hAnsi="Times New Roman"/>
                <w:sz w:val="10"/>
                <w:szCs w:val="10"/>
                <w:color w:val="auto"/>
              </w:rPr>
              <w:t>Gastos de Depreciación</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3,305.19</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214.00</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221.24</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214.27</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214.22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210.49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209.34</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1,283.56</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Otros Gastos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225,777.22</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10,334.75</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5,344.99</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41,485.73</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51,538.84</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46,676.06</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40,825.99</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196,206.36</w:t>
            </w:r>
          </w:p>
        </w:tc>
      </w:tr>
      <w:tr>
        <w:trPr>
          <w:trHeight w:val="138"/>
        </w:trPr>
        <w:tc>
          <w:tcPr>
            <w:tcW w:w="190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Utilidad antes de Provisiones</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65,067.40</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6,234.56</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6,331.93</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6,701.75</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7,426.21</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8,573.00</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7,936.51</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43,203.96</w:t>
            </w:r>
          </w:p>
        </w:tc>
      </w:tr>
      <w:tr>
        <w:trPr>
          <w:trHeight w:val="24"/>
        </w:trPr>
        <w:tc>
          <w:tcPr>
            <w:tcW w:w="1900" w:type="dxa"/>
            <w:vAlign w:val="bottom"/>
          </w:tcPr>
          <w:p>
            <w:pPr>
              <w:spacing w:after="0"/>
              <w:rPr>
                <w:sz w:val="2"/>
                <w:szCs w:val="2"/>
                <w:color w:val="auto"/>
              </w:rPr>
            </w:pPr>
          </w:p>
        </w:tc>
        <w:tc>
          <w:tcPr>
            <w:tcW w:w="7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4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00" w:type="dxa"/>
            <w:vAlign w:val="bottom"/>
          </w:tcPr>
          <w:p>
            <w:pPr>
              <w:spacing w:after="0"/>
              <w:rPr>
                <w:sz w:val="2"/>
                <w:szCs w:val="2"/>
                <w:color w:val="auto"/>
              </w:rPr>
            </w:pPr>
          </w:p>
        </w:tc>
        <w:tc>
          <w:tcPr>
            <w:tcW w:w="620" w:type="dxa"/>
            <w:vAlign w:val="bottom"/>
          </w:tcPr>
          <w:p>
            <w:pPr>
              <w:spacing w:after="0"/>
              <w:rPr>
                <w:sz w:val="2"/>
                <w:szCs w:val="2"/>
                <w:color w:val="auto"/>
              </w:rPr>
            </w:pPr>
          </w:p>
        </w:tc>
        <w:tc>
          <w:tcPr>
            <w:tcW w:w="640" w:type="dxa"/>
            <w:vAlign w:val="bottom"/>
          </w:tcPr>
          <w:p>
            <w:pPr>
              <w:spacing w:after="0"/>
              <w:rPr>
                <w:sz w:val="2"/>
                <w:szCs w:val="2"/>
                <w:color w:val="auto"/>
              </w:rPr>
            </w:pPr>
          </w:p>
        </w:tc>
        <w:tc>
          <w:tcPr>
            <w:tcW w:w="780" w:type="dxa"/>
            <w:vAlign w:val="bottom"/>
          </w:tcPr>
          <w:p>
            <w:pPr>
              <w:spacing w:after="0"/>
              <w:rPr>
                <w:sz w:val="2"/>
                <w:szCs w:val="2"/>
                <w:color w:val="auto"/>
              </w:rPr>
            </w:pPr>
          </w:p>
        </w:tc>
        <w:tc>
          <w:tcPr>
            <w:tcW w:w="640" w:type="dxa"/>
            <w:vAlign w:val="bottom"/>
          </w:tcPr>
          <w:p>
            <w:pPr>
              <w:spacing w:after="0"/>
              <w:rPr>
                <w:sz w:val="2"/>
                <w:szCs w:val="2"/>
                <w:color w:val="auto"/>
              </w:rPr>
            </w:pPr>
          </w:p>
        </w:tc>
        <w:tc>
          <w:tcPr>
            <w:tcW w:w="720" w:type="dxa"/>
            <w:vAlign w:val="bottom"/>
          </w:tcPr>
          <w:p>
            <w:pPr>
              <w:spacing w:after="0"/>
              <w:rPr>
                <w:sz w:val="2"/>
                <w:szCs w:val="2"/>
                <w:color w:val="auto"/>
              </w:rPr>
            </w:pPr>
          </w:p>
        </w:tc>
        <w:tc>
          <w:tcPr>
            <w:tcW w:w="680" w:type="dxa"/>
            <w:vAlign w:val="bottom"/>
          </w:tcPr>
          <w:p>
            <w:pPr>
              <w:spacing w:after="0"/>
              <w:rPr>
                <w:sz w:val="2"/>
                <w:szCs w:val="2"/>
                <w:color w:val="auto"/>
              </w:rPr>
            </w:pPr>
          </w:p>
        </w:tc>
        <w:tc>
          <w:tcPr>
            <w:tcW w:w="660" w:type="dxa"/>
            <w:vAlign w:val="bottom"/>
          </w:tcPr>
          <w:p>
            <w:pPr>
              <w:spacing w:after="0"/>
              <w:rPr>
                <w:sz w:val="2"/>
                <w:szCs w:val="2"/>
                <w:color w:val="auto"/>
              </w:rPr>
            </w:pPr>
          </w:p>
        </w:tc>
      </w:tr>
      <w:tr>
        <w:trPr>
          <w:trHeight w:val="142"/>
        </w:trPr>
        <w:tc>
          <w:tcPr>
            <w:tcW w:w="1900" w:type="dxa"/>
            <w:vAlign w:val="bottom"/>
            <w:tcBorders>
              <w:bottom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0"/>
                <w:szCs w:val="10"/>
                <w:color w:val="auto"/>
              </w:rPr>
              <w:t>Provisiones por Cuentas Malas</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1,977.19</w:t>
            </w:r>
          </w:p>
        </w:tc>
        <w:tc>
          <w:tcPr>
            <w:tcW w:w="82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574.39</w:t>
            </w:r>
          </w:p>
        </w:tc>
        <w:tc>
          <w:tcPr>
            <w:tcW w:w="64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4,048.59</w:t>
            </w:r>
          </w:p>
        </w:tc>
        <w:tc>
          <w:tcPr>
            <w:tcW w:w="60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3,487.74</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1,176.14</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1,483.00</w:t>
            </w:r>
          </w:p>
        </w:tc>
        <w:tc>
          <w:tcPr>
            <w:tcW w:w="600" w:type="dxa"/>
            <w:vAlign w:val="bottom"/>
            <w:tcBorders>
              <w:bottom w:val="single" w:sz="8" w:color="CCEEFF"/>
            </w:tcBorders>
            <w:shd w:val="clear" w:color="auto" w:fill="CCEEFF"/>
          </w:tcPr>
          <w:p>
            <w:pPr>
              <w:jc w:val="right"/>
              <w:ind w:right="50"/>
              <w:spacing w:after="0"/>
              <w:rPr>
                <w:sz w:val="20"/>
                <w:szCs w:val="20"/>
                <w:color w:val="auto"/>
              </w:rPr>
            </w:pPr>
            <w:r>
              <w:rPr>
                <w:rFonts w:ascii="Times New Roman" w:cs="Times New Roman" w:eastAsia="Times New Roman" w:hAnsi="Times New Roman"/>
                <w:sz w:val="10"/>
                <w:szCs w:val="10"/>
                <w:color w:val="auto"/>
              </w:rPr>
              <w:t>-1,825.67</w:t>
            </w:r>
          </w:p>
        </w:tc>
        <w:tc>
          <w:tcPr>
            <w:tcW w:w="62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Borders>
              <w:bottom w:val="single" w:sz="8" w:color="CCEEFF"/>
            </w:tcBorders>
            <w:shd w:val="clear" w:color="auto" w:fill="CCEEFF"/>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Borders>
              <w:bottom w:val="single" w:sz="8" w:color="CCEEFF"/>
            </w:tcBorders>
            <w:shd w:val="clear" w:color="auto" w:fill="CCEEFF"/>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8,944.18</w:t>
            </w:r>
          </w:p>
        </w:tc>
      </w:tr>
      <w:tr>
        <w:trPr>
          <w:trHeight w:val="138"/>
        </w:trPr>
        <w:tc>
          <w:tcPr>
            <w:tcW w:w="1900" w:type="dxa"/>
            <w:vAlign w:val="bottom"/>
          </w:tcPr>
          <w:p>
            <w:pPr>
              <w:ind w:left="20"/>
              <w:spacing w:after="0"/>
              <w:rPr>
                <w:sz w:val="20"/>
                <w:szCs w:val="20"/>
                <w:color w:val="auto"/>
              </w:rPr>
            </w:pPr>
            <w:r>
              <w:rPr>
                <w:rFonts w:ascii="Times New Roman" w:cs="Times New Roman" w:eastAsia="Times New Roman" w:hAnsi="Times New Roman"/>
                <w:sz w:val="10"/>
                <w:szCs w:val="10"/>
                <w:color w:val="auto"/>
              </w:rPr>
              <w:t>Utilidad del Periodo</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63,090.21</w:t>
            </w:r>
          </w:p>
        </w:tc>
        <w:tc>
          <w:tcPr>
            <w:tcW w:w="82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5,660.16</w:t>
            </w:r>
          </w:p>
        </w:tc>
        <w:tc>
          <w:tcPr>
            <w:tcW w:w="64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2,283.34</w:t>
            </w:r>
          </w:p>
        </w:tc>
        <w:tc>
          <w:tcPr>
            <w:tcW w:w="60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3,214.02</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6,250.08</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7,089.99</w:t>
            </w:r>
          </w:p>
        </w:tc>
        <w:tc>
          <w:tcPr>
            <w:tcW w:w="600" w:type="dxa"/>
            <w:vAlign w:val="bottom"/>
          </w:tcPr>
          <w:p>
            <w:pPr>
              <w:jc w:val="right"/>
              <w:ind w:right="50"/>
              <w:spacing w:after="0"/>
              <w:rPr>
                <w:sz w:val="20"/>
                <w:szCs w:val="20"/>
                <w:color w:val="auto"/>
              </w:rPr>
            </w:pPr>
            <w:r>
              <w:rPr>
                <w:rFonts w:ascii="Times New Roman" w:cs="Times New Roman" w:eastAsia="Times New Roman" w:hAnsi="Times New Roman"/>
                <w:sz w:val="10"/>
                <w:szCs w:val="10"/>
                <w:color w:val="auto"/>
              </w:rPr>
              <w:t>9,762.18</w:t>
            </w:r>
          </w:p>
        </w:tc>
        <w:tc>
          <w:tcPr>
            <w:tcW w:w="620" w:type="dxa"/>
            <w:vAlign w:val="bottom"/>
          </w:tcPr>
          <w:p>
            <w:pPr>
              <w:jc w:val="center"/>
              <w:ind w:left="19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78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640" w:type="dxa"/>
            <w:vAlign w:val="bottom"/>
          </w:tcPr>
          <w:p>
            <w:pPr>
              <w:jc w:val="right"/>
              <w:ind w:right="30"/>
              <w:spacing w:after="0"/>
              <w:rPr>
                <w:sz w:val="20"/>
                <w:szCs w:val="20"/>
                <w:color w:val="auto"/>
              </w:rPr>
            </w:pPr>
            <w:r>
              <w:rPr>
                <w:rFonts w:ascii="Times New Roman" w:cs="Times New Roman" w:eastAsia="Times New Roman" w:hAnsi="Times New Roman"/>
                <w:sz w:val="10"/>
                <w:szCs w:val="10"/>
                <w:color w:val="auto"/>
              </w:rPr>
              <w:t>0.00</w:t>
            </w:r>
          </w:p>
        </w:tc>
        <w:tc>
          <w:tcPr>
            <w:tcW w:w="7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0.00</w:t>
            </w:r>
          </w:p>
        </w:tc>
        <w:tc>
          <w:tcPr>
            <w:tcW w:w="680" w:type="dxa"/>
            <w:vAlign w:val="bottom"/>
          </w:tcPr>
          <w:p>
            <w:pPr>
              <w:jc w:val="right"/>
              <w:ind w:right="10"/>
              <w:spacing w:after="0"/>
              <w:rPr>
                <w:sz w:val="20"/>
                <w:szCs w:val="20"/>
                <w:color w:val="auto"/>
              </w:rPr>
            </w:pPr>
            <w:r>
              <w:rPr>
                <w:rFonts w:ascii="Times New Roman" w:cs="Times New Roman" w:eastAsia="Times New Roman" w:hAnsi="Times New Roman"/>
                <w:sz w:val="10"/>
                <w:szCs w:val="10"/>
                <w:color w:val="auto"/>
              </w:rPr>
              <w:t>0.00</w:t>
            </w:r>
          </w:p>
        </w:tc>
        <w:tc>
          <w:tcPr>
            <w:tcW w:w="6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34,259.77</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color w:val="auto"/>
        </w:rPr>
        <w:t>*La unidad monetaria es par y equivalentes con el US$ dólar.</w:t>
      </w:r>
    </w:p>
    <w:p>
      <w:pPr>
        <w:spacing w:after="0" w:line="233"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Esta es una copia de la versión original, tomada de la publicación mensual de la Superintendencia de Bancos de Panamá. (sitioweb:</w:t>
      </w:r>
    </w:p>
    <w:p>
      <w:pPr>
        <w:spacing w:after="0" w:line="3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5"/>
          <w:szCs w:val="15"/>
          <w:b w:val="1"/>
          <w:bCs w:val="1"/>
          <w:i w:val="1"/>
          <w:iCs w:val="1"/>
          <w:color w:val="auto"/>
        </w:rPr>
        <w:t>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324485</wp:posOffset>
            </wp:positionV>
            <wp:extent cx="6223635"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23635" cy="8890"/>
                    </a:xfrm>
                    <a:prstGeom prst="rect">
                      <a:avLst/>
                    </a:prstGeom>
                    <a:noFill/>
                  </pic:spPr>
                </pic:pic>
              </a:graphicData>
            </a:graphic>
          </wp:anchor>
        </w:drawing>
      </w:r>
    </w:p>
    <w:sectPr>
      <w:pgSz w:w="11900" w:h="16838" w:orient="portrait"/>
      <w:cols w:equalWidth="0" w:num="1">
        <w:col w:w="11220"/>
      </w:cols>
      <w:pgMar w:left="320" w:top="739" w:right="3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2022-09-06T15:09:47Z</dcterms:created>
  <dcterms:modified xsi:type="dcterms:W3CDTF">2022-09-06T15:09:47Z</dcterms:modified>
</cp:coreProperties>
</file>